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spacing w:line="480" w:lineRule="exact"/>
        <w:ind w:right="-63" w:rightChars="-30"/>
        <w:jc w:val="center"/>
        <w:rPr>
          <w:rFonts w:hint="eastAsia" w:ascii="宋体" w:hAnsi="宋体" w:eastAsia="宋体" w:cs="宋体"/>
          <w:color w:val="auto"/>
          <w:highlight w:val="none"/>
        </w:rPr>
      </w:pPr>
      <w:bookmarkStart w:id="0" w:name="_Toc20971"/>
      <w:bookmarkStart w:id="1" w:name="_Toc18266"/>
      <w:r>
        <w:rPr>
          <w:rFonts w:hint="eastAsia" w:ascii="宋体" w:hAnsi="宋体" w:eastAsia="宋体" w:cs="宋体"/>
          <w:color w:val="auto"/>
          <w:highlight w:val="none"/>
        </w:rPr>
        <w:t>第四章 采购需求</w:t>
      </w:r>
      <w:bookmarkEnd w:id="0"/>
      <w:bookmarkEnd w:id="1"/>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一、</w:t>
      </w:r>
      <w:r>
        <w:rPr>
          <w:rFonts w:hint="eastAsia" w:ascii="宋体" w:hAnsi="宋体" w:eastAsia="宋体" w:cs="宋体"/>
          <w:b/>
          <w:color w:val="auto"/>
          <w:kern w:val="0"/>
          <w:sz w:val="21"/>
          <w:szCs w:val="21"/>
          <w:highlight w:val="none"/>
        </w:rPr>
        <w:t>相关说明</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kern w:val="0"/>
          <w:sz w:val="21"/>
          <w:szCs w:val="21"/>
          <w:highlight w:val="none"/>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highlight w:val="none"/>
        </w:rPr>
        <w:t>。</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本采购项目为交钥匙项目，验收合格前所需的一切费用均包含在报价之中，采购人不承担成交价格以外的任何费用。</w:t>
      </w:r>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之日起20日历天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3.质量标准：符合国家现行及行业标准。</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4.质量保证期：</w:t>
      </w:r>
      <w:r>
        <w:rPr>
          <w:rFonts w:hint="eastAsia" w:ascii="宋体" w:hAnsi="宋体" w:eastAsia="宋体" w:cs="宋体"/>
          <w:color w:val="auto"/>
          <w:kern w:val="0"/>
          <w:sz w:val="21"/>
          <w:szCs w:val="21"/>
          <w:highlight w:val="none"/>
          <w:lang w:val="en-US" w:eastAsia="zh-CN" w:bidi="ar"/>
        </w:rPr>
        <w:t>三年</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5.付款方式：</w:t>
      </w:r>
      <w:r>
        <w:rPr>
          <w:rFonts w:hint="eastAsia" w:ascii="宋体" w:hAnsi="宋体" w:eastAsia="宋体" w:cs="宋体"/>
          <w:color w:val="auto"/>
          <w:kern w:val="0"/>
          <w:sz w:val="21"/>
          <w:szCs w:val="21"/>
          <w:highlight w:val="none"/>
          <w:shd w:val="clear"/>
          <w:lang w:val="en-US" w:eastAsia="zh-CN" w:bidi="ar"/>
        </w:rPr>
        <w:t>全部供货、安装完毕，</w:t>
      </w:r>
      <w:r>
        <w:rPr>
          <w:rFonts w:hint="eastAsia" w:ascii="宋体" w:hAnsi="宋体" w:eastAsia="宋体" w:cs="宋体"/>
          <w:color w:val="auto"/>
          <w:kern w:val="0"/>
          <w:sz w:val="21"/>
          <w:szCs w:val="21"/>
          <w:highlight w:val="none"/>
          <w:lang w:val="en-US" w:eastAsia="zh-CN" w:bidi="ar"/>
        </w:rPr>
        <w:t>经第三方验收（验收所需费用由中标人承担）合格后付合同款95%，剩余5%一年后一次性付清。</w:t>
      </w:r>
    </w:p>
    <w:p>
      <w:pPr>
        <w:pStyle w:val="6"/>
        <w:shd w:val="clear"/>
        <w:rPr>
          <w:rFonts w:hint="eastAsia" w:ascii="宋体" w:hAnsi="宋体" w:eastAsia="宋体" w:cs="宋体"/>
          <w:color w:val="auto"/>
          <w:highlight w:val="none"/>
          <w:lang w:val="en-US" w:eastAsia="zh-CN"/>
        </w:rPr>
      </w:pPr>
      <w:r>
        <w:rPr>
          <w:rFonts w:hint="eastAsia" w:ascii="宋体" w:hAnsi="宋体" w:eastAsia="宋体" w:cs="宋体"/>
          <w:color w:val="auto"/>
          <w:kern w:val="0"/>
          <w:sz w:val="21"/>
          <w:szCs w:val="21"/>
          <w:highlight w:val="none"/>
          <w:lang w:val="en-US" w:eastAsia="zh-CN" w:bidi="ar"/>
        </w:rPr>
        <w:t>6.商品包装要求：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bidi="ar"/>
        </w:rPr>
        <w:t xml:space="preserve">.1适用范围 </w:t>
      </w:r>
    </w:p>
    <w:p>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本标准规定了商品使用的塑料、纸质、木质等包装材料的环保要求。 </w:t>
      </w:r>
    </w:p>
    <w:p>
      <w:pPr>
        <w:widowControl/>
        <w:shd w:val="clea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    </w:t>
      </w:r>
      <w:r>
        <w:rPr>
          <w:rFonts w:hint="eastAsia" w:ascii="宋体" w:hAnsi="宋体" w:eastAsia="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bidi="ar"/>
        </w:rPr>
        <w:t xml:space="preserve">.2商品包装环保要求 </w:t>
      </w:r>
    </w:p>
    <w:p>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（1）商品包装层数不得超过 3 层，空隙率不大于 40%； </w:t>
      </w:r>
    </w:p>
    <w:p>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（2）商品包装尽可能使用单一材质的包装材料，如因功能需求必需使用不同材质，不同材质间应便于分离； </w:t>
      </w:r>
    </w:p>
    <w:p>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（3）商品包装中铅、汞、镉、六价铬的总含量应不大于100mg/kg； </w:t>
      </w:r>
    </w:p>
    <w:p>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（4）商品包装印刷使用的油墨中挥发性有机化合物(VOCs)含量应不大于 5%（以重量计）； </w:t>
      </w:r>
    </w:p>
    <w:p>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（5）塑料材质商品包装上呈现的印刷颜色不得超过6色； </w:t>
      </w:r>
    </w:p>
    <w:p>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（6）纸质商品包装应使用75%以上的可再生纤维原料生产； </w:t>
      </w:r>
    </w:p>
    <w:p>
      <w:pPr>
        <w:widowControl/>
        <w:shd w:val="clear"/>
        <w:spacing w:line="360" w:lineRule="auto"/>
        <w:ind w:firstLine="420" w:firstLineChars="200"/>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（7）木质商品包装的原料应来源于可持续性森林。</w:t>
      </w:r>
    </w:p>
    <w:p>
      <w:pPr>
        <w:widowControl/>
        <w:shd w:val="clear"/>
        <w:adjustRightInd w:val="0"/>
        <w:spacing w:line="360" w:lineRule="auto"/>
        <w:rPr>
          <w:rFonts w:hint="eastAsia" w:ascii="宋体" w:hAnsi="宋体"/>
          <w:b/>
          <w:color w:val="auto"/>
          <w:kern w:val="0"/>
          <w:sz w:val="21"/>
          <w:szCs w:val="21"/>
          <w:highlight w:val="none"/>
        </w:rPr>
      </w:pPr>
      <w:r>
        <w:rPr>
          <w:rFonts w:hint="eastAsia" w:ascii="宋体" w:hAnsi="宋体"/>
          <w:b/>
          <w:color w:val="auto"/>
          <w:kern w:val="0"/>
          <w:sz w:val="21"/>
          <w:szCs w:val="21"/>
          <w:highlight w:val="none"/>
        </w:rPr>
        <w:t>三、其他要求：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售后服务要求：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eastAsia="zh-CN" w:bidi="ar"/>
        </w:rPr>
        <w:t>故障响应时间：7×24×365全年实施故障响应，接到故障通知后2小时内响应，24小时内到达现场维修并解决问题。</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eastAsia="zh-CN" w:bidi="ar"/>
        </w:rPr>
        <w:t>产品质量保证期从产品验收合格之日起计算，易损件及消耗品不在质保范围内。在质保期内，维修、保养、配件供应(消耗品除外)免费。</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3.供应商</w:t>
      </w:r>
      <w:r>
        <w:rPr>
          <w:rFonts w:hint="eastAsia" w:ascii="宋体" w:hAnsi="宋体" w:eastAsia="宋体" w:cs="宋体"/>
          <w:color w:val="auto"/>
          <w:kern w:val="0"/>
          <w:sz w:val="21"/>
          <w:szCs w:val="21"/>
          <w:highlight w:val="none"/>
          <w:lang w:eastAsia="zh-CN" w:bidi="ar"/>
        </w:rPr>
        <w:t>对设备进行终身维修，只收取人工和零部件成本费。施工期内如有设备故障，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在接到</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 xml:space="preserve">通知后2天内派人至现场维修(本市范围内24小时到达)。 </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eastAsia="zh-CN" w:bidi="ar"/>
        </w:rPr>
        <w:t>如货物经</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两次维修仍不能达到约定的质量标准，视作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未能按时交货，</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有权退货并追究</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的违约责任。</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eastAsia="zh-CN" w:bidi="ar"/>
        </w:rPr>
        <w:t>在</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未完全掌握设备使用技术前，</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须指派专人负责与</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联系售后服务事宜。</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6.乙方</w:t>
      </w:r>
      <w:r>
        <w:rPr>
          <w:rFonts w:hint="eastAsia" w:ascii="宋体" w:hAnsi="宋体" w:eastAsia="宋体" w:cs="宋体"/>
          <w:color w:val="auto"/>
          <w:kern w:val="0"/>
          <w:sz w:val="21"/>
          <w:szCs w:val="21"/>
          <w:highlight w:val="none"/>
          <w:lang w:eastAsia="zh-CN" w:bidi="ar"/>
        </w:rPr>
        <w:t>负责设备的安全施工管理。</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eastAsia="zh-CN" w:bidi="ar"/>
        </w:rPr>
        <w:t>质保期外的售后服务按招标文件和</w:t>
      </w:r>
      <w:r>
        <w:rPr>
          <w:rFonts w:hint="eastAsia" w:ascii="宋体" w:hAnsi="宋体" w:eastAsia="宋体" w:cs="宋体"/>
          <w:color w:val="auto"/>
          <w:kern w:val="0"/>
          <w:sz w:val="21"/>
          <w:szCs w:val="21"/>
          <w:highlight w:val="none"/>
          <w:lang w:val="en-US" w:eastAsia="zh-CN" w:bidi="ar"/>
        </w:rPr>
        <w:t>供应商的</w:t>
      </w:r>
      <w:r>
        <w:rPr>
          <w:rFonts w:hint="eastAsia" w:ascii="宋体" w:hAnsi="宋体" w:eastAsia="宋体" w:cs="宋体"/>
          <w:color w:val="auto"/>
          <w:kern w:val="0"/>
          <w:sz w:val="21"/>
          <w:szCs w:val="21"/>
          <w:highlight w:val="none"/>
          <w:lang w:eastAsia="zh-CN" w:bidi="ar"/>
        </w:rPr>
        <w:t>投标文件执行，如招标文件没有规定，可由双方另行约定。</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eastAsia="zh-CN" w:bidi="ar"/>
        </w:rPr>
        <w:t>培训要求：</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负责对</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操作、维修人员和有关技术人员进行培训，使之完全掌握全部使用技术。</w:t>
      </w:r>
    </w:p>
    <w:p>
      <w:pPr>
        <w:keepNext w:val="0"/>
        <w:keepLines w:val="0"/>
        <w:pageBreakBefore w:val="0"/>
        <w:widowControl/>
        <w:shd w:val="clear"/>
        <w:kinsoku/>
        <w:wordWrap/>
        <w:overflowPunct/>
        <w:topLinePunct w:val="0"/>
        <w:autoSpaceDE/>
        <w:autoSpaceDN/>
        <w:bidi w:val="0"/>
        <w:adjustRightInd w:val="0"/>
        <w:snapToGrid/>
        <w:spacing w:line="360" w:lineRule="auto"/>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本项目的核心产品为</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b/>
          <w:bCs/>
          <w:color w:val="auto"/>
          <w:sz w:val="21"/>
          <w:szCs w:val="21"/>
          <w:highlight w:val="none"/>
          <w:u w:val="single"/>
          <w:lang w:val="en-US" w:eastAsia="zh-CN"/>
        </w:rPr>
        <w:t>电子琴</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（核心产品仅适用于本项目同一品牌的认定，同一品牌的认定详见投标人须知）</w:t>
      </w:r>
    </w:p>
    <w:p>
      <w:pPr>
        <w:pStyle w:val="11"/>
        <w:numPr>
          <w:ilvl w:val="0"/>
          <w:numId w:val="0"/>
        </w:numPr>
        <w:shd w:val="clear"/>
        <w:tabs>
          <w:tab w:val="left" w:pos="1659"/>
        </w:tabs>
        <w:spacing w:before="67" w:after="0" w:line="240" w:lineRule="auto"/>
        <w:ind w:right="0" w:rightChars="0"/>
        <w:jc w:val="center"/>
        <w:rPr>
          <w:rFonts w:hint="eastAsia" w:ascii="宋体" w:hAnsi="宋体" w:eastAsia="宋体"/>
          <w:b/>
          <w:color w:val="auto"/>
          <w:kern w:val="0"/>
          <w:sz w:val="24"/>
          <w:szCs w:val="24"/>
          <w:highlight w:val="none"/>
          <w:lang w:val="en-US" w:eastAsia="zh-CN"/>
        </w:rPr>
      </w:pPr>
      <w:r>
        <w:rPr>
          <w:rFonts w:hint="eastAsia" w:ascii="宋体" w:hAnsi="宋体" w:eastAsia="宋体"/>
          <w:b/>
          <w:color w:val="auto"/>
          <w:kern w:val="0"/>
          <w:sz w:val="24"/>
          <w:szCs w:val="24"/>
          <w:highlight w:val="none"/>
          <w:lang w:val="en-US" w:eastAsia="zh-CN"/>
        </w:rPr>
        <w:t>武陟县教育体育局2022年薄改计划学校音乐器材设施配备</w:t>
      </w:r>
    </w:p>
    <w:p>
      <w:pPr>
        <w:pStyle w:val="11"/>
        <w:numPr>
          <w:ilvl w:val="0"/>
          <w:numId w:val="0"/>
        </w:numPr>
        <w:shd w:val="clear"/>
        <w:tabs>
          <w:tab w:val="left" w:pos="1659"/>
        </w:tabs>
        <w:spacing w:before="67" w:after="0" w:line="240" w:lineRule="auto"/>
        <w:ind w:right="0" w:rightChars="0"/>
        <w:jc w:val="center"/>
        <w:rPr>
          <w:rFonts w:hint="eastAsia" w:ascii="宋体" w:hAnsi="宋体" w:eastAsia="宋体"/>
          <w:b/>
          <w:color w:val="auto"/>
          <w:kern w:val="0"/>
          <w:sz w:val="24"/>
          <w:szCs w:val="24"/>
          <w:highlight w:val="none"/>
          <w:lang w:val="en-US" w:eastAsia="zh-CN"/>
        </w:rPr>
      </w:pPr>
    </w:p>
    <w:tbl>
      <w:tblPr>
        <w:tblStyle w:val="9"/>
        <w:tblW w:w="88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1"/>
        <w:gridCol w:w="1260"/>
        <w:gridCol w:w="5176"/>
        <w:gridCol w:w="615"/>
        <w:gridCol w:w="539"/>
        <w:gridCol w:w="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标的名称</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b/>
                <w:bCs/>
                <w:color w:val="auto"/>
                <w:kern w:val="0"/>
                <w:sz w:val="21"/>
                <w:szCs w:val="21"/>
                <w:highlight w:val="none"/>
              </w:rPr>
              <w:t>主要技术参数、性能、配置等要求</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126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电子琴</w:t>
            </w:r>
          </w:p>
        </w:tc>
        <w:tc>
          <w:tcPr>
            <w:tcW w:w="5176"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color w:val="auto"/>
                <w:sz w:val="21"/>
                <w:szCs w:val="21"/>
                <w:highlight w:val="none"/>
                <w:lang w:val="en-US" w:eastAsia="zh-CN"/>
              </w:rPr>
            </w:pPr>
            <w:r>
              <w:rPr>
                <w:rFonts w:hint="eastAsia"/>
                <w:color w:val="auto"/>
                <w:sz w:val="21"/>
                <w:szCs w:val="21"/>
                <w:highlight w:val="none"/>
                <w:lang w:val="en-US" w:eastAsia="zh-CN"/>
              </w:rPr>
              <w:t>键    盘：61键力度触感标准键盘</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显    示：多功能LCD液晶显示</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复 音 数：32</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音    色：361种PCM音色，其中有13种中国民乐，</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 xml:space="preserve">          1组键盘打击乐，1组民族打击乐</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音色控制：音量，延音，移调，微调，八度，相位，颤音</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效    果：8种混响类型选择，混响开关，混响深度调节</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 xml:space="preserve">          8种合唱类型选择，合唱开关，合唱深度调节</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EQ低频/EQ高频调节</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节    奏：116种节奏，包括16种民族节奏，速度范围（20-280）</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节奏控制：同步启动、直接启动、带前奏启动，启动/停止，前奏/尾奏，插入</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键盘控制：全和弦，单多指复用和弦，键盘分离，</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 xml:space="preserve">          双音色，3种力度选择</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示 范 曲：110首（包括100首学习歌曲）</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学习功能：3步学习（左/右手练习）</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录    音：实时录放音</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面板存储：10组面板存储/调用</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 xml:space="preserve">节电功能：大约30分钟没有任何操作，本琴将自动断电 </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其    他：18种功能参数调节和设定，节拍器（12种类型），和弦字典、琶音</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接    口：电源，耳机</w:t>
            </w:r>
            <w:r>
              <w:rPr>
                <w:rFonts w:hint="eastAsia"/>
                <w:color w:val="auto"/>
                <w:sz w:val="21"/>
                <w:szCs w:val="21"/>
                <w:highlight w:val="none"/>
                <w:lang w:val="en-US" w:eastAsia="zh-CN"/>
              </w:rPr>
              <w:br w:type="textWrapping"/>
            </w:r>
            <w:r>
              <w:rPr>
                <w:rFonts w:hint="eastAsia"/>
                <w:color w:val="auto"/>
                <w:sz w:val="21"/>
                <w:szCs w:val="21"/>
                <w:highlight w:val="none"/>
                <w:lang w:val="en-US" w:eastAsia="zh-CN"/>
              </w:rPr>
              <w:t>喇    叭：Yd120：  6W/4Ω*2，配琴凳。</w:t>
            </w:r>
          </w:p>
          <w:p>
            <w:pPr>
              <w:pStyle w:val="2"/>
              <w:shd w:val="clear"/>
              <w:rPr>
                <w:rFonts w:hint="eastAsia"/>
                <w:color w:val="auto"/>
                <w:sz w:val="21"/>
                <w:szCs w:val="21"/>
                <w:highlight w:val="none"/>
              </w:rPr>
            </w:pPr>
            <w:r>
              <w:rPr>
                <w:rFonts w:hint="eastAsia" w:ascii="宋体" w:hAnsi="宋体" w:eastAsia="宋体" w:cs="宋体"/>
                <w:i w:val="0"/>
                <w:iCs w:val="0"/>
                <w:snapToGrid w:val="0"/>
                <w:color w:val="auto"/>
                <w:kern w:val="0"/>
                <w:sz w:val="21"/>
                <w:szCs w:val="21"/>
                <w:highlight w:val="none"/>
                <w:u w:val="none"/>
              </w:rPr>
              <w:t>▲</w:t>
            </w:r>
            <w:r>
              <w:rPr>
                <w:rStyle w:val="12"/>
                <w:snapToGrid w:val="0"/>
                <w:color w:val="auto"/>
                <w:sz w:val="21"/>
                <w:szCs w:val="21"/>
                <w:highlight w:val="none"/>
                <w:lang w:val="en-US" w:eastAsia="zh-CN" w:bidi="ar"/>
              </w:rPr>
              <w:t>投标</w:t>
            </w:r>
            <w:r>
              <w:rPr>
                <w:rStyle w:val="12"/>
                <w:rFonts w:hint="eastAsia"/>
                <w:snapToGrid w:val="0"/>
                <w:color w:val="auto"/>
                <w:sz w:val="21"/>
                <w:szCs w:val="21"/>
                <w:highlight w:val="none"/>
                <w:lang w:val="en-US" w:eastAsia="zh-CN" w:bidi="ar"/>
              </w:rPr>
              <w:t>文件</w:t>
            </w:r>
            <w:r>
              <w:rPr>
                <w:rStyle w:val="12"/>
                <w:snapToGrid w:val="0"/>
                <w:color w:val="auto"/>
                <w:sz w:val="21"/>
                <w:szCs w:val="21"/>
                <w:highlight w:val="none"/>
                <w:lang w:val="en-US" w:eastAsia="zh-CN" w:bidi="ar"/>
              </w:rPr>
              <w:t>提供该产品</w:t>
            </w:r>
            <w:r>
              <w:rPr>
                <w:rStyle w:val="12"/>
                <w:rFonts w:hint="eastAsia"/>
                <w:snapToGrid w:val="0"/>
                <w:color w:val="auto"/>
                <w:sz w:val="21"/>
                <w:szCs w:val="21"/>
                <w:highlight w:val="none"/>
                <w:lang w:val="en-US" w:eastAsia="zh-CN" w:bidi="ar"/>
              </w:rPr>
              <w:t>第三方</w:t>
            </w:r>
            <w:r>
              <w:rPr>
                <w:rStyle w:val="12"/>
                <w:snapToGrid w:val="0"/>
                <w:color w:val="auto"/>
                <w:sz w:val="21"/>
                <w:szCs w:val="21"/>
                <w:highlight w:val="none"/>
                <w:lang w:val="en-US" w:eastAsia="zh-CN" w:bidi="ar"/>
              </w:rPr>
              <w:t>检测机构出具的检测报告</w:t>
            </w:r>
            <w:r>
              <w:rPr>
                <w:rStyle w:val="12"/>
                <w:rFonts w:hint="eastAsia"/>
                <w:snapToGrid w:val="0"/>
                <w:color w:val="auto"/>
                <w:sz w:val="21"/>
                <w:szCs w:val="21"/>
                <w:highlight w:val="none"/>
                <w:lang w:val="en-US" w:eastAsia="zh-CN" w:bidi="ar"/>
              </w:rPr>
              <w:t>复印件或扫描</w:t>
            </w:r>
            <w:r>
              <w:rPr>
                <w:rStyle w:val="12"/>
                <w:snapToGrid w:val="0"/>
                <w:color w:val="auto"/>
                <w:sz w:val="21"/>
                <w:szCs w:val="21"/>
                <w:highlight w:val="none"/>
                <w:lang w:val="en-US" w:eastAsia="zh-CN" w:bidi="ar"/>
              </w:rPr>
              <w:t>件</w:t>
            </w:r>
          </w:p>
        </w:tc>
        <w:tc>
          <w:tcPr>
            <w:tcW w:w="61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台</w:t>
            </w:r>
          </w:p>
        </w:tc>
        <w:tc>
          <w:tcPr>
            <w:tcW w:w="539"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w:t>
            </w:r>
          </w:p>
        </w:tc>
        <w:tc>
          <w:tcPr>
            <w:tcW w:w="690" w:type="dxa"/>
            <w:vMerge w:val="restart"/>
            <w:tcBorders>
              <w:top w:val="nil"/>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snapToGrid w:val="0"/>
                <w:color w:val="auto"/>
                <w:kern w:val="0"/>
                <w:sz w:val="20"/>
                <w:szCs w:val="20"/>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5"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初中音乐教学挂图</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含音乐家挂图、乐器挂图、识谱知识挂图，材质：铜版纸，套：100幅。</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初中音乐教学软件</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具备初中音乐课堂教学、资料检索、学生自主学习等功能</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初中音乐欣赏教学曲库</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初中阶段音乐欣赏教学资料（CD）</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初中音乐欣赏教学影像库</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各类初中音乐教学音像、歌舞剧等影像资料（VCD、DVD）</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大军鼓</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1、材质：鼓圈：铝合金压铸,金属外腔和木腔镶接；正品鼓皮，镀锌紧箍件</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2、规格：直径≥600mm，鼓体高度不小于300mm。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3、不少于8个精密紧箍件,鼓锤敲击延音≮7s,</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4、各部件表面打磨光滑，无毛刺，无锐利边角，鼓框拼接整齐，胶合牢固，无裂开，声音饱满，浑厚。</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5、配：鼓棒、背带</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rPr>
              <w:t>▲</w:t>
            </w:r>
            <w:r>
              <w:rPr>
                <w:rStyle w:val="12"/>
                <w:snapToGrid w:val="0"/>
                <w:color w:val="auto"/>
                <w:sz w:val="21"/>
                <w:szCs w:val="21"/>
                <w:highlight w:val="none"/>
                <w:lang w:val="en-US" w:eastAsia="zh-CN" w:bidi="ar"/>
              </w:rPr>
              <w:t>投标</w:t>
            </w:r>
            <w:r>
              <w:rPr>
                <w:rStyle w:val="12"/>
                <w:rFonts w:hint="eastAsia"/>
                <w:snapToGrid w:val="0"/>
                <w:color w:val="auto"/>
                <w:sz w:val="21"/>
                <w:szCs w:val="21"/>
                <w:highlight w:val="none"/>
                <w:lang w:val="en-US" w:eastAsia="zh-CN" w:bidi="ar"/>
              </w:rPr>
              <w:t>文件</w:t>
            </w:r>
            <w:r>
              <w:rPr>
                <w:rStyle w:val="12"/>
                <w:snapToGrid w:val="0"/>
                <w:color w:val="auto"/>
                <w:sz w:val="21"/>
                <w:szCs w:val="21"/>
                <w:highlight w:val="none"/>
                <w:lang w:val="en-US" w:eastAsia="zh-CN" w:bidi="ar"/>
              </w:rPr>
              <w:t>提供该产品</w:t>
            </w:r>
            <w:r>
              <w:rPr>
                <w:rStyle w:val="12"/>
                <w:rFonts w:hint="eastAsia"/>
                <w:snapToGrid w:val="0"/>
                <w:color w:val="auto"/>
                <w:sz w:val="21"/>
                <w:szCs w:val="21"/>
                <w:highlight w:val="none"/>
                <w:lang w:val="en-US" w:eastAsia="zh-CN" w:bidi="ar"/>
              </w:rPr>
              <w:t>第三方</w:t>
            </w:r>
            <w:r>
              <w:rPr>
                <w:rStyle w:val="12"/>
                <w:snapToGrid w:val="0"/>
                <w:color w:val="auto"/>
                <w:sz w:val="21"/>
                <w:szCs w:val="21"/>
                <w:highlight w:val="none"/>
                <w:lang w:val="en-US" w:eastAsia="zh-CN" w:bidi="ar"/>
              </w:rPr>
              <w:t>检测机构出具的检测报告</w:t>
            </w:r>
            <w:r>
              <w:rPr>
                <w:rStyle w:val="12"/>
                <w:rFonts w:hint="eastAsia"/>
                <w:snapToGrid w:val="0"/>
                <w:color w:val="auto"/>
                <w:sz w:val="21"/>
                <w:szCs w:val="21"/>
                <w:highlight w:val="none"/>
                <w:lang w:val="en-US" w:eastAsia="zh-CN" w:bidi="ar"/>
              </w:rPr>
              <w:t>复印件或扫描</w:t>
            </w:r>
            <w:r>
              <w:rPr>
                <w:rStyle w:val="12"/>
                <w:snapToGrid w:val="0"/>
                <w:color w:val="auto"/>
                <w:sz w:val="21"/>
                <w:szCs w:val="21"/>
                <w:highlight w:val="none"/>
                <w:lang w:val="en-US" w:eastAsia="zh-CN" w:bidi="ar"/>
              </w:rPr>
              <w:t>件（检测内容需包含有害物质限量“铅、镉、铬、汞”达到环保标准）。</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钢琴</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1、尺寸：1480*580*1200MM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2、铁板：亮光珠光粉金黄色铁板，采用传统沙铸铁板工艺，音色纯正。</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3、音板：采用Alalka顶级高冷云杉木音板，在各种不同的气候条件下均能保持优良的音色，音板设计非常符合钢琴共鸣系统的发声规律，产生更加优美琴声和纯正的音质效果。</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4、琴弦：采用德国Roslau的防锈钢线，音色纯净，音准稳定。</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5、弦码：采用色木多层板制作，音频振动响应精确、迅速。</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6、弦轴板：由多层坚硬的色木交错拼接而成，为弦轴钉提供稳固的握钉力，保证了音准稳定性。</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7、弦槌：采用优质国产羊毛毡并应用欧洲传统工艺制作的弦槌，音色圆润通透。</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 xml:space="preserve">8、制音器：采用优质羊毛毡制造，制音效果好。 </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9、琴键：亚光黑键，色彩和质感如同乌木，触感舒适自然。</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10、外壳涂饰：采用名牌的不饱和树脂环保漆，并应用静电喷涂、自动淋油等先进涂饰工艺，令漆面光亮平整,附带琴凳。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台</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铙</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1、材质：响铜制</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2、尺寸：直径≧270mm。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3、铙面光、弧度适度、圆度准确、边缘厚度一致。</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4、中间的帽形大小和两面的音高要相同，两面为一副，抛光打磨有光泽，音质响亮清脆。</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5、铙靶设计符合人体工程学，易拿不脱落。</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rPr>
              <w:t>▲</w:t>
            </w:r>
            <w:r>
              <w:rPr>
                <w:rStyle w:val="12"/>
                <w:snapToGrid w:val="0"/>
                <w:color w:val="auto"/>
                <w:sz w:val="21"/>
                <w:szCs w:val="21"/>
                <w:highlight w:val="none"/>
                <w:lang w:val="en-US" w:eastAsia="zh-CN" w:bidi="ar"/>
              </w:rPr>
              <w:t>投标</w:t>
            </w:r>
            <w:r>
              <w:rPr>
                <w:rStyle w:val="12"/>
                <w:rFonts w:hint="eastAsia"/>
                <w:snapToGrid w:val="0"/>
                <w:color w:val="auto"/>
                <w:sz w:val="21"/>
                <w:szCs w:val="21"/>
                <w:highlight w:val="none"/>
                <w:lang w:val="en-US" w:eastAsia="zh-CN" w:bidi="ar"/>
              </w:rPr>
              <w:t>文件</w:t>
            </w:r>
            <w:r>
              <w:rPr>
                <w:rStyle w:val="12"/>
                <w:snapToGrid w:val="0"/>
                <w:color w:val="auto"/>
                <w:sz w:val="21"/>
                <w:szCs w:val="21"/>
                <w:highlight w:val="none"/>
                <w:lang w:val="en-US" w:eastAsia="zh-CN" w:bidi="ar"/>
              </w:rPr>
              <w:t>提供该产品</w:t>
            </w:r>
            <w:r>
              <w:rPr>
                <w:rStyle w:val="12"/>
                <w:rFonts w:hint="eastAsia"/>
                <w:snapToGrid w:val="0"/>
                <w:color w:val="auto"/>
                <w:sz w:val="21"/>
                <w:szCs w:val="21"/>
                <w:highlight w:val="none"/>
                <w:lang w:val="en-US" w:eastAsia="zh-CN" w:bidi="ar"/>
              </w:rPr>
              <w:t>第三方</w:t>
            </w:r>
            <w:r>
              <w:rPr>
                <w:rStyle w:val="12"/>
                <w:snapToGrid w:val="0"/>
                <w:color w:val="auto"/>
                <w:sz w:val="21"/>
                <w:szCs w:val="21"/>
                <w:highlight w:val="none"/>
                <w:lang w:val="en-US" w:eastAsia="zh-CN" w:bidi="ar"/>
              </w:rPr>
              <w:t>检测</w:t>
            </w:r>
            <w:r>
              <w:rPr>
                <w:rStyle w:val="12"/>
                <w:rFonts w:hint="eastAsia"/>
                <w:snapToGrid w:val="0"/>
                <w:color w:val="auto"/>
                <w:sz w:val="21"/>
                <w:szCs w:val="21"/>
                <w:highlight w:val="none"/>
                <w:lang w:val="en-US" w:eastAsia="zh-CN" w:bidi="ar"/>
              </w:rPr>
              <w:t>机构</w:t>
            </w:r>
            <w:r>
              <w:rPr>
                <w:rStyle w:val="12"/>
                <w:snapToGrid w:val="0"/>
                <w:color w:val="auto"/>
                <w:sz w:val="21"/>
                <w:szCs w:val="21"/>
                <w:highlight w:val="none"/>
                <w:lang w:val="en-US" w:eastAsia="zh-CN" w:bidi="ar"/>
              </w:rPr>
              <w:t>出具的检测报告</w:t>
            </w:r>
            <w:r>
              <w:rPr>
                <w:rStyle w:val="12"/>
                <w:rFonts w:hint="eastAsia"/>
                <w:snapToGrid w:val="0"/>
                <w:color w:val="auto"/>
                <w:sz w:val="21"/>
                <w:szCs w:val="21"/>
                <w:highlight w:val="none"/>
                <w:lang w:val="en-US" w:eastAsia="zh-CN" w:bidi="ar"/>
              </w:rPr>
              <w:t>复印件或扫描</w:t>
            </w:r>
            <w:r>
              <w:rPr>
                <w:rStyle w:val="12"/>
                <w:snapToGrid w:val="0"/>
                <w:color w:val="auto"/>
                <w:sz w:val="21"/>
                <w:szCs w:val="21"/>
                <w:highlight w:val="none"/>
                <w:lang w:val="en-US" w:eastAsia="zh-CN" w:bidi="ar"/>
              </w:rPr>
              <w:t>件。</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副</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手风琴</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1、规格：120贝司，键盘式传统手风琴，41键盘，7/2变音器。</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2、三排簧.键盘灵活,琴键排列表面平整。</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3、风箱密封严密，不漏气，琴面表面光滑，使用灵活。</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4、琴键运动灵敏，不相互摩擦，音质全音域均匀无杂音。</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5、贝司机：采用硬质合金铝板、铝材，严禁采用铁丝点焊工艺。</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6、配琴包、背带。</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架</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小钹</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1、材质：响铜，音色更高亢脆亮。抛光处理。</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2、尺寸：钹直径≥140㎜，厚度≥1mm，重量不小于：0.4kg，碗顶钻孔系以布绳，两面为一副。</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3、制作精美，光洁，无毛刺。圆帽形，中间突起，钹体小而厚，产品光滑，平整，无毛刺、裂缝，周边无棱角表面抛光氧化处理并涂防锈油。</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4、功能要求：声音判断：互击时声音洪亮而强烈，穿透力很强，能烘托气氛，强烈的气势，音色高亢脆亮。</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5、使用方法：演奏时左右手各握一个，互击发音。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副</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小军鼓</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1、材质：金属外腔和木腔镶接，鼓圈：铝合金压铸；金属外腔，正品鼓皮</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2、规格：直径≥330mm,鼓体高度≥120mm，鼓皮厚度≥0.15mm。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3、镀锌紧箍件，不少于6个精密紧箍件，各部件表面打磨光滑，无毛刺，无锐利边角，鼓框拼接整齐，胶合牢固，无裂开，声音饱满，浑厚。</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4、配：鼓棒、背带</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rPr>
              <w:t>▲</w:t>
            </w:r>
            <w:r>
              <w:rPr>
                <w:rStyle w:val="12"/>
                <w:snapToGrid w:val="0"/>
                <w:color w:val="auto"/>
                <w:sz w:val="21"/>
                <w:szCs w:val="21"/>
                <w:highlight w:val="none"/>
                <w:lang w:val="en-US" w:eastAsia="zh-CN" w:bidi="ar"/>
              </w:rPr>
              <w:t>投标</w:t>
            </w:r>
            <w:r>
              <w:rPr>
                <w:rStyle w:val="12"/>
                <w:rFonts w:hint="eastAsia"/>
                <w:snapToGrid w:val="0"/>
                <w:color w:val="auto"/>
                <w:sz w:val="21"/>
                <w:szCs w:val="21"/>
                <w:highlight w:val="none"/>
                <w:lang w:val="en-US" w:eastAsia="zh-CN" w:bidi="ar"/>
              </w:rPr>
              <w:t>文件</w:t>
            </w:r>
            <w:r>
              <w:rPr>
                <w:rStyle w:val="12"/>
                <w:snapToGrid w:val="0"/>
                <w:color w:val="auto"/>
                <w:sz w:val="21"/>
                <w:szCs w:val="21"/>
                <w:highlight w:val="none"/>
                <w:lang w:val="en-US" w:eastAsia="zh-CN" w:bidi="ar"/>
              </w:rPr>
              <w:t>提供该产品</w:t>
            </w:r>
            <w:r>
              <w:rPr>
                <w:rStyle w:val="12"/>
                <w:rFonts w:hint="eastAsia"/>
                <w:snapToGrid w:val="0"/>
                <w:color w:val="auto"/>
                <w:sz w:val="21"/>
                <w:szCs w:val="21"/>
                <w:highlight w:val="none"/>
                <w:lang w:val="en-US" w:eastAsia="zh-CN" w:bidi="ar"/>
              </w:rPr>
              <w:t>第三方</w:t>
            </w:r>
            <w:r>
              <w:rPr>
                <w:rStyle w:val="12"/>
                <w:snapToGrid w:val="0"/>
                <w:color w:val="auto"/>
                <w:sz w:val="21"/>
                <w:szCs w:val="21"/>
                <w:highlight w:val="none"/>
                <w:lang w:val="en-US" w:eastAsia="zh-CN" w:bidi="ar"/>
              </w:rPr>
              <w:t>检测</w:t>
            </w:r>
            <w:r>
              <w:rPr>
                <w:rStyle w:val="12"/>
                <w:rFonts w:hint="eastAsia"/>
                <w:snapToGrid w:val="0"/>
                <w:color w:val="auto"/>
                <w:sz w:val="21"/>
                <w:szCs w:val="21"/>
                <w:highlight w:val="none"/>
                <w:lang w:val="en-US" w:eastAsia="zh-CN" w:bidi="ar"/>
              </w:rPr>
              <w:t>机构</w:t>
            </w:r>
            <w:r>
              <w:rPr>
                <w:rStyle w:val="12"/>
                <w:snapToGrid w:val="0"/>
                <w:color w:val="auto"/>
                <w:sz w:val="21"/>
                <w:szCs w:val="21"/>
                <w:highlight w:val="none"/>
                <w:lang w:val="en-US" w:eastAsia="zh-CN" w:bidi="ar"/>
              </w:rPr>
              <w:t>出具的检测报告</w:t>
            </w:r>
            <w:r>
              <w:rPr>
                <w:rStyle w:val="12"/>
                <w:rFonts w:hint="eastAsia"/>
                <w:snapToGrid w:val="0"/>
                <w:color w:val="auto"/>
                <w:sz w:val="21"/>
                <w:szCs w:val="21"/>
                <w:highlight w:val="none"/>
                <w:lang w:val="en-US" w:eastAsia="zh-CN" w:bidi="ar"/>
              </w:rPr>
              <w:t>复印件或扫描件</w:t>
            </w:r>
            <w:r>
              <w:rPr>
                <w:rStyle w:val="12"/>
                <w:snapToGrid w:val="0"/>
                <w:color w:val="auto"/>
                <w:sz w:val="21"/>
                <w:szCs w:val="21"/>
                <w:highlight w:val="none"/>
                <w:lang w:val="en-US" w:eastAsia="zh-CN" w:bidi="ar"/>
              </w:rPr>
              <w:t>（检测内容需包含有害物质甲醛释放量达到环保标准）。</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小锣</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1、组成：由铜锣及锣尺组成</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2、材质：用优质响铜制作</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3、直径≥210mm，厚度不小于1.5mm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4、音色：主音明显集中，铿锵有力，谐音丰富</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5、音质：无明显转音、颤音</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6、厚薄均匀，平整，无毛刺，无裂缝，表面抛光氧化处理并涂油。锣尺用硬杂木制成，表面无疤痕。</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rPr>
              <w:t>▲</w:t>
            </w:r>
            <w:r>
              <w:rPr>
                <w:rStyle w:val="12"/>
                <w:snapToGrid w:val="0"/>
                <w:color w:val="auto"/>
                <w:sz w:val="21"/>
                <w:szCs w:val="21"/>
                <w:highlight w:val="none"/>
                <w:lang w:val="en-US" w:eastAsia="zh-CN" w:bidi="ar"/>
              </w:rPr>
              <w:t>投标</w:t>
            </w:r>
            <w:r>
              <w:rPr>
                <w:rStyle w:val="12"/>
                <w:rFonts w:hint="eastAsia"/>
                <w:snapToGrid w:val="0"/>
                <w:color w:val="auto"/>
                <w:sz w:val="21"/>
                <w:szCs w:val="21"/>
                <w:highlight w:val="none"/>
                <w:lang w:val="en-US" w:eastAsia="zh-CN" w:bidi="ar"/>
              </w:rPr>
              <w:t>文件</w:t>
            </w:r>
            <w:r>
              <w:rPr>
                <w:rStyle w:val="12"/>
                <w:snapToGrid w:val="0"/>
                <w:color w:val="auto"/>
                <w:sz w:val="21"/>
                <w:szCs w:val="21"/>
                <w:highlight w:val="none"/>
                <w:lang w:val="en-US" w:eastAsia="zh-CN" w:bidi="ar"/>
              </w:rPr>
              <w:t>提供该产品</w:t>
            </w:r>
            <w:r>
              <w:rPr>
                <w:rStyle w:val="12"/>
                <w:rFonts w:hint="eastAsia"/>
                <w:snapToGrid w:val="0"/>
                <w:color w:val="auto"/>
                <w:sz w:val="21"/>
                <w:szCs w:val="21"/>
                <w:highlight w:val="none"/>
                <w:lang w:val="en-US" w:eastAsia="zh-CN" w:bidi="ar"/>
              </w:rPr>
              <w:t>第三方</w:t>
            </w:r>
            <w:r>
              <w:rPr>
                <w:rStyle w:val="12"/>
                <w:snapToGrid w:val="0"/>
                <w:color w:val="auto"/>
                <w:sz w:val="21"/>
                <w:szCs w:val="21"/>
                <w:highlight w:val="none"/>
                <w:lang w:val="en-US" w:eastAsia="zh-CN" w:bidi="ar"/>
              </w:rPr>
              <w:t>检测</w:t>
            </w:r>
            <w:r>
              <w:rPr>
                <w:rStyle w:val="12"/>
                <w:rFonts w:hint="eastAsia"/>
                <w:snapToGrid w:val="0"/>
                <w:color w:val="auto"/>
                <w:sz w:val="21"/>
                <w:szCs w:val="21"/>
                <w:highlight w:val="none"/>
                <w:lang w:val="en-US" w:eastAsia="zh-CN" w:bidi="ar"/>
              </w:rPr>
              <w:t>机构</w:t>
            </w:r>
            <w:r>
              <w:rPr>
                <w:rStyle w:val="12"/>
                <w:snapToGrid w:val="0"/>
                <w:color w:val="auto"/>
                <w:sz w:val="21"/>
                <w:szCs w:val="21"/>
                <w:highlight w:val="none"/>
                <w:lang w:val="en-US" w:eastAsia="zh-CN" w:bidi="ar"/>
              </w:rPr>
              <w:t>出具的检测报告</w:t>
            </w:r>
            <w:r>
              <w:rPr>
                <w:rStyle w:val="12"/>
                <w:rFonts w:hint="eastAsia"/>
                <w:snapToGrid w:val="0"/>
                <w:color w:val="auto"/>
                <w:sz w:val="21"/>
                <w:szCs w:val="21"/>
                <w:highlight w:val="none"/>
                <w:lang w:val="en-US" w:eastAsia="zh-CN" w:bidi="ar"/>
              </w:rPr>
              <w:t>复印件或扫描件</w:t>
            </w:r>
            <w:r>
              <w:rPr>
                <w:rStyle w:val="12"/>
                <w:snapToGrid w:val="0"/>
                <w:color w:val="auto"/>
                <w:sz w:val="21"/>
                <w:szCs w:val="21"/>
                <w:highlight w:val="none"/>
                <w:lang w:val="en-US" w:eastAsia="zh-CN" w:bidi="ar"/>
              </w:rPr>
              <w:t>（检测内容需包含有害物质限量“铅、镉、铬、汞”达到环保标准）。</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小堂鼓</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Style w:val="13"/>
                <w:snapToGrid w:val="0"/>
                <w:color w:val="auto"/>
                <w:sz w:val="21"/>
                <w:szCs w:val="21"/>
                <w:highlight w:val="none"/>
                <w:lang w:val="en-US" w:eastAsia="zh-CN" w:bidi="ar"/>
              </w:rPr>
              <w:t>1、组成：供中小学音乐教学用，由鼓及击槌组成。</w:t>
            </w:r>
            <w:r>
              <w:rPr>
                <w:rStyle w:val="13"/>
                <w:snapToGrid w:val="0"/>
                <w:color w:val="auto"/>
                <w:sz w:val="21"/>
                <w:szCs w:val="21"/>
                <w:highlight w:val="none"/>
                <w:lang w:val="en-US" w:eastAsia="zh-CN" w:bidi="ar"/>
              </w:rPr>
              <w:br w:type="textWrapping"/>
            </w:r>
            <w:r>
              <w:rPr>
                <w:rStyle w:val="13"/>
                <w:snapToGrid w:val="0"/>
                <w:color w:val="auto"/>
                <w:sz w:val="21"/>
                <w:szCs w:val="21"/>
                <w:highlight w:val="none"/>
                <w:lang w:val="en-US" w:eastAsia="zh-CN" w:bidi="ar"/>
              </w:rPr>
              <w:t>2、材质：鼓面用牛皮蒙制，无破损、皱折，鼓面坚韧有弹性、平整，气密性好，有足够的抗疲劳强度。</w:t>
            </w:r>
            <w:r>
              <w:rPr>
                <w:rStyle w:val="13"/>
                <w:snapToGrid w:val="0"/>
                <w:color w:val="auto"/>
                <w:sz w:val="21"/>
                <w:szCs w:val="21"/>
                <w:highlight w:val="none"/>
                <w:lang w:val="en-US" w:eastAsia="zh-CN" w:bidi="ar"/>
              </w:rPr>
              <w:br w:type="textWrapping"/>
            </w:r>
            <w:r>
              <w:rPr>
                <w:rStyle w:val="13"/>
                <w:snapToGrid w:val="0"/>
                <w:color w:val="auto"/>
                <w:sz w:val="21"/>
                <w:szCs w:val="21"/>
                <w:highlight w:val="none"/>
                <w:lang w:val="en-US" w:eastAsia="zh-CN" w:bidi="ar"/>
              </w:rPr>
              <w:t>3、规格：鼓体直径≥320mm，高度不小于220mm，用杉木板制作，卷曲成圆柱形，表面无疤痕、裂缝，不变形，并喷红漆。</w:t>
            </w:r>
            <w:r>
              <w:rPr>
                <w:rStyle w:val="13"/>
                <w:snapToGrid w:val="0"/>
                <w:color w:val="auto"/>
                <w:sz w:val="21"/>
                <w:szCs w:val="21"/>
                <w:highlight w:val="none"/>
                <w:lang w:val="en-US" w:eastAsia="zh-CN" w:bidi="ar"/>
              </w:rPr>
              <w:br w:type="textWrapping"/>
            </w:r>
            <w:r>
              <w:rPr>
                <w:rStyle w:val="13"/>
                <w:snapToGrid w:val="0"/>
                <w:color w:val="auto"/>
                <w:sz w:val="21"/>
                <w:szCs w:val="21"/>
                <w:highlight w:val="none"/>
                <w:lang w:val="en-US" w:eastAsia="zh-CN" w:bidi="ar"/>
              </w:rPr>
              <w:t>4、击槌用硬杂木制成，前端呈球状。表面无疤痕、裂纹。</w:t>
            </w:r>
            <w:r>
              <w:rPr>
                <w:rStyle w:val="13"/>
                <w:snapToGrid w:val="0"/>
                <w:color w:val="auto"/>
                <w:sz w:val="21"/>
                <w:szCs w:val="21"/>
                <w:highlight w:val="none"/>
                <w:lang w:val="en-US" w:eastAsia="zh-CN" w:bidi="ar"/>
              </w:rPr>
              <w:br w:type="textWrapping"/>
            </w:r>
            <w:r>
              <w:rPr>
                <w:rStyle w:val="13"/>
                <w:snapToGrid w:val="0"/>
                <w:color w:val="auto"/>
                <w:sz w:val="21"/>
                <w:szCs w:val="21"/>
                <w:highlight w:val="none"/>
                <w:lang w:val="en-US" w:eastAsia="zh-CN" w:bidi="ar"/>
              </w:rPr>
              <w:t>5、堂鼓的鼓身上下口径相同，中部略大，漆面光洁。</w:t>
            </w:r>
            <w:r>
              <w:rPr>
                <w:rStyle w:val="13"/>
                <w:snapToGrid w:val="0"/>
                <w:color w:val="auto"/>
                <w:sz w:val="21"/>
                <w:szCs w:val="21"/>
                <w:highlight w:val="none"/>
                <w:lang w:val="en-US" w:eastAsia="zh-CN" w:bidi="ar"/>
              </w:rPr>
              <w:br w:type="textWrapping"/>
            </w:r>
            <w:r>
              <w:rPr>
                <w:rStyle w:val="13"/>
                <w:snapToGrid w:val="0"/>
                <w:color w:val="auto"/>
                <w:sz w:val="21"/>
                <w:szCs w:val="21"/>
                <w:highlight w:val="none"/>
                <w:lang w:val="en-US" w:eastAsia="zh-CN" w:bidi="ar"/>
              </w:rPr>
              <w:t>6、演奏时，发出“咚、咚”声，不得有杂音。</w:t>
            </w:r>
            <w:r>
              <w:rPr>
                <w:rStyle w:val="13"/>
                <w:snapToGrid w:val="0"/>
                <w:color w:val="auto"/>
                <w:sz w:val="21"/>
                <w:szCs w:val="21"/>
                <w:highlight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rPr>
              <w:t>▲</w:t>
            </w:r>
            <w:r>
              <w:rPr>
                <w:rStyle w:val="12"/>
                <w:snapToGrid w:val="0"/>
                <w:color w:val="auto"/>
                <w:sz w:val="21"/>
                <w:szCs w:val="21"/>
                <w:highlight w:val="none"/>
                <w:lang w:val="en-US" w:eastAsia="zh-CN" w:bidi="ar"/>
              </w:rPr>
              <w:t>投标</w:t>
            </w:r>
            <w:r>
              <w:rPr>
                <w:rStyle w:val="12"/>
                <w:rFonts w:hint="eastAsia"/>
                <w:snapToGrid w:val="0"/>
                <w:color w:val="auto"/>
                <w:sz w:val="21"/>
                <w:szCs w:val="21"/>
                <w:highlight w:val="none"/>
                <w:lang w:val="en-US" w:eastAsia="zh-CN" w:bidi="ar"/>
              </w:rPr>
              <w:t>文件</w:t>
            </w:r>
            <w:r>
              <w:rPr>
                <w:rStyle w:val="12"/>
                <w:snapToGrid w:val="0"/>
                <w:color w:val="auto"/>
                <w:sz w:val="21"/>
                <w:szCs w:val="21"/>
                <w:highlight w:val="none"/>
                <w:lang w:val="en-US" w:eastAsia="zh-CN" w:bidi="ar"/>
              </w:rPr>
              <w:t>提供该产品</w:t>
            </w:r>
            <w:r>
              <w:rPr>
                <w:rStyle w:val="12"/>
                <w:rFonts w:hint="eastAsia"/>
                <w:snapToGrid w:val="0"/>
                <w:color w:val="auto"/>
                <w:sz w:val="21"/>
                <w:szCs w:val="21"/>
                <w:highlight w:val="none"/>
                <w:lang w:val="en-US" w:eastAsia="zh-CN" w:bidi="ar"/>
              </w:rPr>
              <w:t>第三方</w:t>
            </w:r>
            <w:r>
              <w:rPr>
                <w:rStyle w:val="12"/>
                <w:snapToGrid w:val="0"/>
                <w:color w:val="auto"/>
                <w:sz w:val="21"/>
                <w:szCs w:val="21"/>
                <w:highlight w:val="none"/>
                <w:lang w:val="en-US" w:eastAsia="zh-CN" w:bidi="ar"/>
              </w:rPr>
              <w:t>检测</w:t>
            </w:r>
            <w:r>
              <w:rPr>
                <w:rStyle w:val="12"/>
                <w:rFonts w:hint="eastAsia"/>
                <w:snapToGrid w:val="0"/>
                <w:color w:val="auto"/>
                <w:sz w:val="21"/>
                <w:szCs w:val="21"/>
                <w:highlight w:val="none"/>
                <w:lang w:val="en-US" w:eastAsia="zh-CN" w:bidi="ar"/>
              </w:rPr>
              <w:t>机构</w:t>
            </w:r>
            <w:r>
              <w:rPr>
                <w:rStyle w:val="12"/>
                <w:snapToGrid w:val="0"/>
                <w:color w:val="auto"/>
                <w:sz w:val="21"/>
                <w:szCs w:val="21"/>
                <w:highlight w:val="none"/>
                <w:lang w:val="en-US" w:eastAsia="zh-CN" w:bidi="ar"/>
              </w:rPr>
              <w:t>出具的检测报告</w:t>
            </w:r>
            <w:r>
              <w:rPr>
                <w:rStyle w:val="12"/>
                <w:rFonts w:hint="eastAsia"/>
                <w:snapToGrid w:val="0"/>
                <w:color w:val="auto"/>
                <w:sz w:val="21"/>
                <w:szCs w:val="21"/>
                <w:highlight w:val="none"/>
                <w:lang w:val="en-US" w:eastAsia="zh-CN" w:bidi="ar"/>
              </w:rPr>
              <w:t>复印件或扫描件</w:t>
            </w:r>
            <w:r>
              <w:rPr>
                <w:rStyle w:val="12"/>
                <w:snapToGrid w:val="0"/>
                <w:color w:val="auto"/>
                <w:sz w:val="21"/>
                <w:szCs w:val="21"/>
                <w:highlight w:val="none"/>
                <w:lang w:val="en-US" w:eastAsia="zh-CN" w:bidi="ar"/>
              </w:rPr>
              <w:t>（检测内容需包含有害物质甲醛释放量达到环保标准）。</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小学音乐教学挂图</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含音乐家挂图、乐器挂图、识谱知识挂图，材质：铜版纸，套：100幅。</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小学音乐教学软件</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具备小学音乐课堂教学、资料检索、学生自主学习等功能</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小学音乐欣赏教学曲库</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小学阶段音乐欣赏教学资料（CD）</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小学音乐欣赏教学影像库</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各类小学音乐教学音像、歌舞剧等影像资料（VCD、DVD）</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音叉</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440HZ共振音叉；</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呈“Y”形的钢质发声器，可以产生单一波长的机械波；</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由叉股和手柄组成，手柄截面为圆形或方形,音叉表面平整光滑，叉股内侧平面与底部圆弧光滑相切。</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4"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音乐凳</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尺寸不小于300mmx350mmx400mm，采用15mm三聚氰胺板，不开裂不变型，六面体结构，采用3cm宽加厚铝合金封边，配有龄合型软防滑八角，组装接缝严密，连接牢固，无松动现象。边缘抛圆处理，外表面和内表面以及手指可触及的隐蔽处，均不得有锐利的棱角、毛刺以及小五金部件露出的锐利尖锐。</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音乐教育教学相关图书及杂志</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音乐基本理论、音乐教育学、心理学、音乐教学设计以及各种音乐专业杂志等</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本</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6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音乐节拍器</w:t>
            </w:r>
          </w:p>
        </w:tc>
        <w:tc>
          <w:tcPr>
            <w:tcW w:w="51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机械式，进口机芯。</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1.节拍器摆杆左右摆动自然、顺畅，无大小、快慢、停顿等现象；2.节拍器外壳件光亮、整洁、色泽基本均匀，无明显的色差、损伤、斑痕等缺陷存在；3.透明罩脱卸方便，固定可靠，透明度高，无损伤；4.滑块上沿与刻字板上对应刻度线基本齐平，表面光亮耐磨，定位可靠，滑动顺畅。</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69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0"/>
                <w:szCs w:val="20"/>
                <w:highlight w:val="none"/>
                <w:u w:val="none"/>
                <w:lang w:val="en-US" w:eastAsia="zh-CN" w:bidi="ar"/>
              </w:rPr>
            </w:pPr>
          </w:p>
        </w:tc>
      </w:tr>
    </w:tbl>
    <w:p>
      <w:pPr>
        <w:pStyle w:val="11"/>
        <w:numPr>
          <w:ilvl w:val="0"/>
          <w:numId w:val="0"/>
        </w:numPr>
        <w:shd w:val="clear"/>
        <w:tabs>
          <w:tab w:val="left" w:pos="1659"/>
        </w:tabs>
        <w:spacing w:before="67" w:after="0" w:line="240" w:lineRule="auto"/>
        <w:ind w:right="0" w:rightChars="0"/>
        <w:jc w:val="both"/>
        <w:rPr>
          <w:rFonts w:hint="eastAsia" w:cs="宋体"/>
          <w:b/>
          <w:bCs/>
          <w:color w:val="auto"/>
          <w:sz w:val="24"/>
          <w:szCs w:val="24"/>
          <w:highlight w:val="none"/>
          <w:lang w:val="en-US" w:eastAsia="zh-CN" w:bidi="ar-SA"/>
        </w:rPr>
      </w:pPr>
    </w:p>
    <w:p>
      <w:pPr>
        <w:shd w:val="clear"/>
        <w:jc w:val="center"/>
        <w:rPr>
          <w:rFonts w:hint="eastAsia" w:cs="宋体"/>
          <w:b/>
          <w:bCs/>
          <w:color w:val="auto"/>
          <w:sz w:val="24"/>
          <w:szCs w:val="24"/>
          <w:highlight w:val="none"/>
          <w:lang w:val="en-US" w:eastAsia="zh-CN" w:bidi="ar-SA"/>
        </w:rPr>
      </w:pPr>
    </w:p>
    <w:p>
      <w:pPr>
        <w:shd w:val="clear"/>
        <w:jc w:val="center"/>
        <w:rPr>
          <w:rFonts w:hint="eastAsia" w:cs="宋体"/>
          <w:b/>
          <w:bCs/>
          <w:color w:val="auto"/>
          <w:sz w:val="24"/>
          <w:szCs w:val="24"/>
          <w:highlight w:val="none"/>
          <w:lang w:val="en-US" w:eastAsia="zh-CN" w:bidi="ar-SA"/>
        </w:rPr>
      </w:pPr>
      <w:r>
        <w:rPr>
          <w:rFonts w:hint="eastAsia" w:cs="宋体"/>
          <w:b/>
          <w:bCs/>
          <w:color w:val="auto"/>
          <w:sz w:val="24"/>
          <w:szCs w:val="24"/>
          <w:highlight w:val="none"/>
          <w:lang w:val="en-US" w:eastAsia="zh-CN" w:bidi="ar-SA"/>
        </w:rPr>
        <w:t>武陟县教育体育局2022年薄改计划学校美术器材设施配备</w:t>
      </w:r>
    </w:p>
    <w:p>
      <w:pPr>
        <w:pStyle w:val="2"/>
        <w:shd w:val="clear"/>
        <w:rPr>
          <w:rFonts w:hint="eastAsia"/>
          <w:color w:val="auto"/>
          <w:highlight w:val="none"/>
          <w:lang w:val="en-US" w:eastAsia="zh-CN"/>
        </w:rPr>
      </w:pPr>
    </w:p>
    <w:tbl>
      <w:tblPr>
        <w:tblStyle w:val="9"/>
        <w:tblW w:w="883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1"/>
        <w:gridCol w:w="1215"/>
        <w:gridCol w:w="5221"/>
        <w:gridCol w:w="555"/>
        <w:gridCol w:w="554"/>
        <w:gridCol w:w="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标的名称</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b/>
                <w:bCs/>
                <w:color w:val="auto"/>
                <w:kern w:val="0"/>
                <w:sz w:val="21"/>
                <w:szCs w:val="21"/>
                <w:highlight w:val="none"/>
              </w:rPr>
              <w:t>主要技术参数、性能、配置等要求</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3"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版画工具</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1.胶辊3件:大号胶辊辊长≥100mm手柄≥112mm，中号胶辊辊长≥75mm手柄≥112mm， 小号胶辊辊长≥35mm手柄≥110mm； 2.磨托1件：磨托头直径≥45mm,磨托手柄≥92mm； 3.笔刀3件：大号刀柄≥100mm，中号刀柄≥85mm，小号刀柄≥85mm。 4.笔刀刀头1盒  5.木刻刀12件，木手柄长≥98mm； 6.油石1件，外观尺寸不小于70mmx49mmx21mm； 7.板刷1件，长≥138mm宽≥22mm  8.马莲1件，塑料材质直径≥97mm  9.小手据1把，木柄钢头，长约：130mm。 10.尖钻1件：双头，长≥173mm ； 11.大斜头刀1把：木柄钢头，长≥132mm； 12.调墨铲木柄钢头长≥174mm； 13.黑、红油墨各1瓶,50ml/1瓶14.石刻刀1把，长136mm。中空吹塑定位包装，包装盒采用优质环保塑料无毒无味，所有产品均有单独卡槽定位于箱子内，不得串动，便于携带存放。▲投标文件需提供与参数相对应第三方检测机构出具的检测报告复印件或扫描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66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default"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衬布</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一适用范围： 适用于小学、初中美术教学使用。1、规格：≥1000mm×2000mm 2、材质：棉、麻、丝、绒； 3、颜色：黄、蓝、红、绿为主，要求染色均匀，经水洗不脱色、缩水、变形。4、产品应符合JY0001-2003《教学仪器产品一般质量要求》的有关规定。</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7"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初中美术教学挂图</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适合中学美术教学要求的绘画、手工、欣赏内容，对开，铜版纸印刷不少于58幅，图像清晰、重点突出、色泽鲜明。</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磁性白黑板</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600mm*900mm，锌背白板，表面PET 附带磁扣板刷专用笔，易写易擦，不留痕迹。</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工作台</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 xml:space="preserve">规格：180x80x75cm、可折叠、桌面材质优质密度板PVC封边，厚23mm。底部为40x40mm壁厚1.0mm  方管焊接成型的对折式支撑架；表面酸洗磷化后静电喷塑处理，光滑无毛刺；圆柱形升降可调式4个防滑地脚垫。  </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画板</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2#图板；材质：双面椴木三合板，四周实木边框；</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画架</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材质为优质樟子松，可折叠；要求倾斜角度可调，画板托板高度可调。梯形画架外观尺寸：高1400mm；边框宽40mm;边框厚20mm。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绘画工具</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水粉画笔1-12#各一支，油画笔1-12#各一支，24眼调色盒1件，17眼调色板1件，毛笔8支：加健毛笔，大中小提斗，大中小白云，花枝俏，小依纹，中空吹塑定位包装，便于携带、存放；适用范围：适用于小学、中学美术教学用.共5类34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美术教学用品柜</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产品类别：教学用品柜；颜色：中灰白 规格：1850×900×400mm ；材质：0.8m厚冷轧钢板，整体分为上下两部分，上部镶装玻璃对开门，下部钢板对开门，内部隔板可调节、配备防盗锁，优质一级电解钢板（冷轧板表面经电解防锈处理），表面处理：酸洗、磷化、水洗、高温固化、流水线高温静电环保喷涂处理，门数4门。</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泥塑工具</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型板1件:木质长≥116mm宽≥45mm；2.切割线1件：木手柄≥78mm，钢丝线长≥590mm；3.泥塑刀6件：黄杨木材质，长度≥190mm；4.喷壶1件100ml；5刮板1件：不锈钢材质长≥99mm宽≥50mm；6.拍板1件木质：长≥194mm宽≥65mm；7.海绵1件：直径≥73mm，厚度≥26mm；8.转台1件：直径≥113mm高度≥33mm；9.艺术刀3件:木柄双头，长度≥195mm;10.大头刀1件:木质手柄长度≥105mm；11.油灰刀1件:长≥175mm宽≥37mm；12.吹釉壶1件:直径70mm高53mm；13.点釉器1件:长125mm宽27mm；14.碾辊3件:大号长≥397mm，直径≥40mm,中号长≥355mm，直径≥35mm；小号长≥303mm，直径≥30mm。中空吹塑定位包装，包装盒采用优质环保塑料无毒无味，所有产品均有单独卡槽定位于箱子内，不得串动，便于携带存放。▲</w:t>
            </w:r>
            <w:r>
              <w:rPr>
                <w:rFonts w:hint="eastAsia" w:ascii="宋体" w:hAnsi="宋体" w:eastAsia="宋体" w:cs="宋体"/>
                <w:i w:val="0"/>
                <w:iCs w:val="0"/>
                <w:snapToGrid w:val="0"/>
                <w:color w:val="auto"/>
                <w:kern w:val="0"/>
                <w:sz w:val="21"/>
                <w:szCs w:val="21"/>
                <w:highlight w:val="none"/>
                <w:u w:val="none"/>
                <w:lang w:val="en-US" w:eastAsia="zh-CN"/>
              </w:rPr>
              <w:t>投标文件需提供第三方检测机构</w:t>
            </w:r>
            <w:r>
              <w:rPr>
                <w:rFonts w:hint="eastAsia" w:ascii="宋体" w:hAnsi="宋体" w:eastAsia="宋体" w:cs="宋体"/>
                <w:i w:val="0"/>
                <w:iCs w:val="0"/>
                <w:snapToGrid w:val="0"/>
                <w:color w:val="auto"/>
                <w:kern w:val="0"/>
                <w:sz w:val="21"/>
                <w:szCs w:val="21"/>
                <w:highlight w:val="none"/>
                <w:u w:val="none"/>
              </w:rPr>
              <w:t>出具的检测报复印件</w:t>
            </w:r>
            <w:r>
              <w:rPr>
                <w:rFonts w:hint="eastAsia" w:ascii="宋体" w:hAnsi="宋体" w:eastAsia="宋体" w:cs="宋体"/>
                <w:i w:val="0"/>
                <w:iCs w:val="0"/>
                <w:snapToGrid w:val="0"/>
                <w:color w:val="auto"/>
                <w:kern w:val="0"/>
                <w:sz w:val="21"/>
                <w:szCs w:val="21"/>
                <w:highlight w:val="none"/>
                <w:u w:val="none"/>
                <w:lang w:val="en-US" w:eastAsia="zh-CN"/>
              </w:rPr>
              <w:t>或扫描件</w:t>
            </w:r>
            <w:r>
              <w:rPr>
                <w:rFonts w:hint="eastAsia" w:ascii="宋体" w:hAnsi="宋体" w:eastAsia="宋体" w:cs="宋体"/>
                <w:i w:val="0"/>
                <w:iCs w:val="0"/>
                <w:snapToGrid w:val="0"/>
                <w:color w:val="auto"/>
                <w:kern w:val="0"/>
                <w:sz w:val="21"/>
                <w:szCs w:val="21"/>
                <w:highlight w:val="none"/>
                <w:u w:val="none"/>
              </w:rPr>
              <w:t>。</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人体结构活动模型</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高不低于40cm，木质</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9"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小学美术教学挂图</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适合小学美术教学要求的绘画、设计、欣赏内容，对开，铜版纸印刷不少于48幅，图像清晰、重点突出、色泽鲜明。</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写生灯</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一、适用范围：适用于小学、初中美术教学使用。二、技术要求：1. 材质：金属材料；灯罩：球型罩灯；灯杆：钢管，塑料旋钮，内置弹簧。 2. 规格：立式三节可升降、最大调节高度600mm—1500mm、照射角度0°-120°，带万向轮。3．要求：整体结实可靠，稳定性良好。表面光滑、无锈斑、划痕。</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写生凳</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一、适用范围：适用于小学、初中美术教学使用。 二、技术要求：1.规格：≥350mm×300mm×400mm；</w:t>
            </w:r>
          </w:p>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2.材质：优质木材、凳面20mm；</w:t>
            </w:r>
          </w:p>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3.要求：可折叠，携带方便，支撑稳定，牢固可靠，工艺精细，表面光洁，环保清漆处理，漆面均匀光亮。</w:t>
            </w:r>
          </w:p>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rPr>
              <w:t>投标文件需提</w:t>
            </w:r>
            <w:r>
              <w:rPr>
                <w:rFonts w:hint="eastAsia" w:ascii="宋体" w:hAnsi="宋体" w:eastAsia="宋体" w:cs="宋体"/>
                <w:i w:val="0"/>
                <w:iCs w:val="0"/>
                <w:snapToGrid w:val="0"/>
                <w:color w:val="auto"/>
                <w:kern w:val="0"/>
                <w:sz w:val="21"/>
                <w:szCs w:val="21"/>
                <w:highlight w:val="none"/>
                <w:u w:val="none"/>
              </w:rPr>
              <w:t>供</w:t>
            </w:r>
            <w:r>
              <w:rPr>
                <w:rFonts w:hint="eastAsia" w:ascii="宋体" w:hAnsi="宋体" w:eastAsia="宋体" w:cs="宋体"/>
                <w:i w:val="0"/>
                <w:iCs w:val="0"/>
                <w:snapToGrid w:val="0"/>
                <w:color w:val="auto"/>
                <w:kern w:val="0"/>
                <w:sz w:val="21"/>
                <w:szCs w:val="21"/>
                <w:highlight w:val="none"/>
                <w:u w:val="none"/>
                <w:lang w:val="en-US" w:eastAsia="zh-CN"/>
              </w:rPr>
              <w:t>第三方检测机构</w:t>
            </w:r>
            <w:r>
              <w:rPr>
                <w:rFonts w:hint="eastAsia" w:ascii="宋体" w:hAnsi="宋体" w:eastAsia="宋体" w:cs="宋体"/>
                <w:i w:val="0"/>
                <w:iCs w:val="0"/>
                <w:snapToGrid w:val="0"/>
                <w:color w:val="auto"/>
                <w:kern w:val="0"/>
                <w:sz w:val="21"/>
                <w:szCs w:val="21"/>
                <w:highlight w:val="none"/>
                <w:u w:val="none"/>
              </w:rPr>
              <w:t>出具的检测报告复印件</w:t>
            </w:r>
            <w:r>
              <w:rPr>
                <w:rFonts w:hint="eastAsia" w:ascii="宋体" w:hAnsi="宋体" w:eastAsia="宋体" w:cs="宋体"/>
                <w:i w:val="0"/>
                <w:iCs w:val="0"/>
                <w:snapToGrid w:val="0"/>
                <w:color w:val="auto"/>
                <w:kern w:val="0"/>
                <w:sz w:val="21"/>
                <w:szCs w:val="21"/>
                <w:highlight w:val="none"/>
                <w:u w:val="none"/>
                <w:lang w:val="en-US" w:eastAsia="zh-CN"/>
              </w:rPr>
              <w:t>或扫描件</w:t>
            </w:r>
            <w:r>
              <w:rPr>
                <w:rFonts w:hint="eastAsia" w:ascii="宋体" w:hAnsi="宋体" w:eastAsia="宋体" w:cs="宋体"/>
                <w:i w:val="0"/>
                <w:iCs w:val="0"/>
                <w:snapToGrid w:val="0"/>
                <w:color w:val="auto"/>
                <w:kern w:val="0"/>
                <w:sz w:val="21"/>
                <w:szCs w:val="21"/>
                <w:highlight w:val="none"/>
                <w:u w:val="none"/>
              </w:rPr>
              <w:t>。</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写生画板</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2#图板；材质：双面椴木三合板，四周实木边框；</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280</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写生画箱</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eastAsia="zh-CN"/>
              </w:rPr>
            </w:pPr>
            <w:r>
              <w:rPr>
                <w:rFonts w:hint="eastAsia" w:ascii="宋体" w:hAnsi="宋体" w:eastAsia="宋体" w:cs="宋体"/>
                <w:i w:val="0"/>
                <w:iCs w:val="0"/>
                <w:snapToGrid w:val="0"/>
                <w:color w:val="auto"/>
                <w:kern w:val="0"/>
                <w:sz w:val="21"/>
                <w:szCs w:val="21"/>
                <w:highlight w:val="none"/>
                <w:u w:val="none"/>
              </w:rPr>
              <w:t>材质：全部采用进口红榉木材质,无混合材质 ；尺寸：34x50x11cm,展开尺寸：82x106x140cm，最大画框尺寸为：87cm；功能：a. 方便外出写生b：配带调色盘，背带c：定制的抽屉可装画笔，颜料或其它绘画材料，表面光滑无毛刺，卯榫结构连接处用环保胶粘剂，表面环保油漆处理。▲</w:t>
            </w:r>
            <w:r>
              <w:rPr>
                <w:rFonts w:hint="eastAsia" w:ascii="宋体" w:hAnsi="宋体" w:eastAsia="宋体" w:cs="宋体"/>
                <w:i w:val="0"/>
                <w:iCs w:val="0"/>
                <w:snapToGrid w:val="0"/>
                <w:color w:val="auto"/>
                <w:kern w:val="0"/>
                <w:sz w:val="21"/>
                <w:szCs w:val="21"/>
                <w:highlight w:val="none"/>
                <w:u w:val="none"/>
                <w:lang w:val="en-US" w:eastAsia="zh-CN"/>
              </w:rPr>
              <w:t>投标文件需提供第三方检测机构</w:t>
            </w:r>
            <w:r>
              <w:rPr>
                <w:rFonts w:hint="eastAsia" w:ascii="宋体" w:hAnsi="宋体" w:eastAsia="宋体" w:cs="宋体"/>
                <w:i w:val="0"/>
                <w:iCs w:val="0"/>
                <w:snapToGrid w:val="0"/>
                <w:color w:val="auto"/>
                <w:kern w:val="0"/>
                <w:sz w:val="21"/>
                <w:szCs w:val="21"/>
                <w:highlight w:val="none"/>
                <w:u w:val="none"/>
              </w:rPr>
              <w:t>出具的检测报告复印件</w:t>
            </w:r>
            <w:r>
              <w:rPr>
                <w:rFonts w:hint="eastAsia" w:ascii="宋体" w:hAnsi="宋体" w:eastAsia="宋体" w:cs="宋体"/>
                <w:i w:val="0"/>
                <w:iCs w:val="0"/>
                <w:snapToGrid w:val="0"/>
                <w:color w:val="auto"/>
                <w:kern w:val="0"/>
                <w:sz w:val="21"/>
                <w:szCs w:val="21"/>
                <w:highlight w:val="none"/>
                <w:u w:val="none"/>
                <w:lang w:val="en-US" w:eastAsia="zh-CN"/>
              </w:rPr>
              <w:t>或扫描件</w:t>
            </w:r>
            <w:r>
              <w:rPr>
                <w:rFonts w:hint="eastAsia" w:ascii="宋体" w:hAnsi="宋体" w:eastAsia="宋体" w:cs="宋体"/>
                <w:i w:val="0"/>
                <w:iCs w:val="0"/>
                <w:snapToGrid w:val="0"/>
                <w:color w:val="auto"/>
                <w:kern w:val="0"/>
                <w:sz w:val="21"/>
                <w:szCs w:val="21"/>
                <w:highlight w:val="none"/>
                <w:u w:val="none"/>
              </w:rPr>
              <w:t>（检测报告的内容必须有样品外观及标识图片和参数一致）</w:t>
            </w:r>
            <w:r>
              <w:rPr>
                <w:rFonts w:hint="eastAsia" w:ascii="宋体" w:hAnsi="宋体" w:eastAsia="宋体" w:cs="宋体"/>
                <w:i w:val="0"/>
                <w:iCs w:val="0"/>
                <w:snapToGrid w:val="0"/>
                <w:color w:val="auto"/>
                <w:kern w:val="0"/>
                <w:sz w:val="21"/>
                <w:szCs w:val="21"/>
                <w:highlight w:val="none"/>
                <w:u w:val="none"/>
                <w:lang w:eastAsia="zh-CN"/>
              </w:rPr>
              <w:t>。</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写生教具（1）</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lang w:eastAsia="zh-CN"/>
              </w:rPr>
            </w:pPr>
            <w:r>
              <w:rPr>
                <w:rFonts w:hint="eastAsia" w:ascii="宋体" w:hAnsi="宋体" w:eastAsia="宋体" w:cs="宋体"/>
                <w:i w:val="0"/>
                <w:iCs w:val="0"/>
                <w:snapToGrid w:val="0"/>
                <w:color w:val="auto"/>
                <w:kern w:val="0"/>
                <w:sz w:val="21"/>
                <w:szCs w:val="21"/>
                <w:highlight w:val="none"/>
                <w:u w:val="none"/>
              </w:rPr>
              <w:t>石膏像：阿古力巴（切面）长24*宽34*高18cm，腊空（半面）长36*宽46*高16，太阳神（头像）长12*宽11.5*高37cm，放牛娃（头像）长16*宽16*高48cm，小大卫（头像）长13.5*宽9.5*高31cm，比例适当。符合CNS5079-1979模型用熟石膏的要求，洁白光滑，无杂质，塑形准确、色泽均匀一致，无明显的流挂、疙瘩、露底、裂痕等缺陷石膏。▲</w:t>
            </w:r>
            <w:r>
              <w:rPr>
                <w:rFonts w:hint="eastAsia" w:ascii="宋体" w:hAnsi="宋体" w:eastAsia="宋体" w:cs="宋体"/>
                <w:i w:val="0"/>
                <w:iCs w:val="0"/>
                <w:snapToGrid w:val="0"/>
                <w:color w:val="auto"/>
                <w:kern w:val="0"/>
                <w:sz w:val="21"/>
                <w:szCs w:val="21"/>
                <w:highlight w:val="none"/>
                <w:u w:val="none"/>
                <w:lang w:val="en-US" w:eastAsia="zh-CN"/>
              </w:rPr>
              <w:t>投标文件</w:t>
            </w:r>
            <w:r>
              <w:rPr>
                <w:rFonts w:hint="eastAsia" w:ascii="宋体" w:hAnsi="宋体" w:eastAsia="宋体" w:cs="宋体"/>
                <w:i w:val="0"/>
                <w:iCs w:val="0"/>
                <w:snapToGrid w:val="0"/>
                <w:color w:val="auto"/>
                <w:kern w:val="0"/>
                <w:sz w:val="21"/>
                <w:szCs w:val="21"/>
                <w:highlight w:val="none"/>
                <w:u w:val="none"/>
              </w:rPr>
              <w:t>需提供</w:t>
            </w:r>
            <w:r>
              <w:rPr>
                <w:rFonts w:hint="eastAsia" w:ascii="宋体" w:hAnsi="宋体" w:eastAsia="宋体" w:cs="宋体"/>
                <w:i w:val="0"/>
                <w:iCs w:val="0"/>
                <w:snapToGrid w:val="0"/>
                <w:color w:val="auto"/>
                <w:kern w:val="0"/>
                <w:sz w:val="21"/>
                <w:szCs w:val="21"/>
                <w:highlight w:val="none"/>
                <w:u w:val="none"/>
                <w:lang w:val="en-US" w:eastAsia="zh-CN"/>
              </w:rPr>
              <w:t>第三方检测机构</w:t>
            </w:r>
            <w:r>
              <w:rPr>
                <w:rFonts w:hint="eastAsia" w:ascii="宋体" w:hAnsi="宋体" w:eastAsia="宋体" w:cs="宋体"/>
                <w:i w:val="0"/>
                <w:iCs w:val="0"/>
                <w:snapToGrid w:val="0"/>
                <w:color w:val="auto"/>
                <w:kern w:val="0"/>
                <w:sz w:val="21"/>
                <w:szCs w:val="21"/>
                <w:highlight w:val="none"/>
                <w:u w:val="none"/>
              </w:rPr>
              <w:t>出具的检测报告复印件</w:t>
            </w:r>
            <w:r>
              <w:rPr>
                <w:rFonts w:hint="eastAsia" w:ascii="宋体" w:hAnsi="宋体" w:eastAsia="宋体" w:cs="宋体"/>
                <w:i w:val="0"/>
                <w:iCs w:val="0"/>
                <w:snapToGrid w:val="0"/>
                <w:color w:val="auto"/>
                <w:kern w:val="0"/>
                <w:sz w:val="21"/>
                <w:szCs w:val="21"/>
                <w:highlight w:val="none"/>
                <w:u w:val="none"/>
                <w:lang w:val="en-US" w:eastAsia="zh-CN"/>
              </w:rPr>
              <w:t>或扫描件</w:t>
            </w:r>
            <w:r>
              <w:rPr>
                <w:rFonts w:hint="eastAsia" w:ascii="宋体" w:hAnsi="宋体" w:eastAsia="宋体" w:cs="宋体"/>
                <w:i w:val="0"/>
                <w:iCs w:val="0"/>
                <w:snapToGrid w:val="0"/>
                <w:color w:val="auto"/>
                <w:kern w:val="0"/>
                <w:sz w:val="21"/>
                <w:szCs w:val="21"/>
                <w:highlight w:val="none"/>
                <w:u w:val="none"/>
              </w:rPr>
              <w:t>（检测报告的内容必须有样品外观及标识图片和参数一致）</w:t>
            </w:r>
            <w:r>
              <w:rPr>
                <w:rFonts w:hint="eastAsia" w:ascii="宋体" w:hAnsi="宋体" w:eastAsia="宋体" w:cs="宋体"/>
                <w:i w:val="0"/>
                <w:iCs w:val="0"/>
                <w:snapToGrid w:val="0"/>
                <w:color w:val="auto"/>
                <w:kern w:val="0"/>
                <w:sz w:val="21"/>
                <w:szCs w:val="21"/>
                <w:highlight w:val="none"/>
                <w:u w:val="none"/>
                <w:lang w:eastAsia="zh-CN"/>
              </w:rPr>
              <w:t>。</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写生教具（2）</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一、适用范围：适用于中小学美术教学使用。二、技术要求：1．材质：优质石膏粉。2.几何形体15件 ：⑴圆球；⑵圆锥；⑶长方体；⑷正方体、⑸四棱锥；⑹圆柱体；⑺六棱柱；⑻方带方；⑼圆锥带圆；⑽方锥带；⑾多面体；⑿八棱柱；⒀六棱锥；⒁圆切；⒂十二面体；3.洁白光滑，无杂质，塑形准确、色泽均匀一致，比例适当、分形面线条清晰。</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云台</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1.直径不小于18cm，高不小于3cm。</w:t>
            </w:r>
          </w:p>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2.双面用，转动灵活，用于盘制泥条、泥塑。</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105</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展示画框</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1.材质：原木色实木2K展示画框，线条流畅，自然纹理，表层为透明有机玻璃板，透明度高，耐用抗摔不易碎，环保E1背板，健康环保；2.规格：53cm×76cm。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展示画框</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1.材质：原木色实木4K展示画框，线条流畅，自然纹理，表层为透明有机玻璃板，透明度高，耐用抗摔不易碎，环保E1背板，健康环保；2.规格：38cm×53cm。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140</w:t>
            </w:r>
          </w:p>
        </w:tc>
        <w:tc>
          <w:tcPr>
            <w:tcW w:w="660" w:type="dxa"/>
            <w:vMerge w:val="continue"/>
            <w:tcBorders>
              <w:left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6" w:hRule="atLeast"/>
        </w:trPr>
        <w:tc>
          <w:tcPr>
            <w:tcW w:w="6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w:t>
            </w:r>
          </w:p>
        </w:tc>
        <w:tc>
          <w:tcPr>
            <w:tcW w:w="121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制作工具</w:t>
            </w:r>
          </w:p>
        </w:tc>
        <w:tc>
          <w:tcPr>
            <w:tcW w:w="52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2"/>
              </w:numPr>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美工刀 1 把：刀片宽度≥15mm，ABS 材质刀身，可自由伸缩。（2）剪刀 2 把：≥155*60mm、≥115*60mm 各 1 把。（3）木刻刀 12 把：刀长≥130mm，刀柄直径≥8mm，刃宽不小于 4mm，刀型大三角、小平、小斜等共计 12 只。（4）尖钻 1 把：木质葫芦柄，长≥120mm（5）篆刻刀 1 把：长宽≥140*4mm，平斜两用，优质工具钢，尼龙绳缠绕防护把手。（6）油石 1 块：双面 150 目*360 目，长宽厚≥70*48*20mm。（7）改锥 2 把：ABS 按摩把柄，铬钒钢锥杆，≥5*100mm4 寸+、-各 1 只。（8）多用锯 1 把：ABS 彩塑把手，合金钢体，长宽≥235*60mm，锯条长≥150mm。（9）锯条 5 根：迷你≥150mm。（10）推刨 1 把：5 件套，长宽高≥170*60*40mm。（11）木锉 1 把：≥8 寸尖平。（12）尖嘴钳 1 把：≥6寸，ABS 把柄，优质工具 45 号钢。（13）铁锤 1 把：木柄，锤头不小于200g，扁平两用。（14）电烙铁 1 把:外热式≥30W，主体长≥195mm，电线长≥870mm，烙铁头直径为：≥3.5mm；发热芯套管直径为：≥9mm；工作电压：220V 50HZ。（15）凿子 2 把：主体长≥200mm，穿心通柄，凿宽≥9mm、11mm 各一只。（16）什锦锉 1 套：5 件套直径≥5mm，长≥180mm，扁平、方、圆、三角、半圆各 1。（17）切割垫板 1 块：尺寸A4，材质采用一级 PVC，厚度不低于 2mm。（18）三用圆规 1 件：不锈钢材质，ABS 塑盒装，≥110mm*19mm。（19）订书器 1 个：外部尺寸≥110*50*30mm。（20）壁纸刀 1 把：小型裁纸刀，刀片≥8mm，刀身长≥130mm。（21）U 型锯 1 把:主体 45 号钢，≥180*145mm。（22）线锯条10 根：U 型锯专用锯条，长宽≥132mm*1mm。（23）手摇钻 1 个：组装后长*宽*高为≥30*8*4.8cm 全金属材质 1/4 型。(24)刨子 1 把：一字刨≥205mm 长，刃宽≥40mm。(25）盒尺 1 个：尺带≥16mm 宽，刻度耐磨，烤漆处理，量程≥3000mm。(26)角尺 1 把：不锈钢尺体，铝座，量程≥300mm。（27）砂纸 5 张：耐磨水木砂纸 150 目、180 目、240 目、320目、360 目各 1 张。（28）小台钳 1 台：钢铝合金体，开口宽度≥31mm，夹持口径≥21mm，最大边夹厚度≥33mm。（29）钢丝钳 1 把：≥6 寸 ABS把柄，优质工具 45 号钢。（30）钢锉 1 把：木柄，柄长≥94mm，中齿锉体≥140mm。(31)钢板尺 1 把：量程≥300mm，不锈钢体，宽≥25mm。(32)金属剪 1 把：≥8 寸，沾塑柄，淬火高碳钢材质。(33)铁砧子 1 件：直径≥75mm，厚度≥6mm。共不少于 33 类 68 件。2．装配工具箱≥1 件，箱体尺寸≥470*340*100mm，ABS 材料，中空吹塑定位包装，所有产品卡槽定位于箱内，便于携带、存放。</w:t>
            </w:r>
          </w:p>
          <w:p>
            <w:pPr>
              <w:keepNext w:val="0"/>
              <w:keepLines w:val="0"/>
              <w:widowControl/>
              <w:numPr>
                <w:ilvl w:val="0"/>
                <w:numId w:val="0"/>
              </w:numPr>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rPr>
              <w:t>投标文件需</w:t>
            </w:r>
            <w:r>
              <w:rPr>
                <w:rFonts w:hint="eastAsia" w:ascii="宋体" w:hAnsi="宋体" w:eastAsia="宋体" w:cs="宋体"/>
                <w:i w:val="0"/>
                <w:iCs w:val="0"/>
                <w:snapToGrid w:val="0"/>
                <w:color w:val="auto"/>
                <w:kern w:val="0"/>
                <w:sz w:val="21"/>
                <w:szCs w:val="21"/>
                <w:highlight w:val="none"/>
                <w:u w:val="none"/>
              </w:rPr>
              <w:t>提供</w:t>
            </w:r>
            <w:r>
              <w:rPr>
                <w:rFonts w:hint="eastAsia" w:ascii="宋体" w:hAnsi="宋体" w:eastAsia="宋体" w:cs="宋体"/>
                <w:i w:val="0"/>
                <w:iCs w:val="0"/>
                <w:snapToGrid w:val="0"/>
                <w:color w:val="auto"/>
                <w:kern w:val="0"/>
                <w:sz w:val="21"/>
                <w:szCs w:val="21"/>
                <w:highlight w:val="none"/>
                <w:u w:val="none"/>
                <w:lang w:val="en-US" w:eastAsia="zh-CN"/>
              </w:rPr>
              <w:t>第三方检测机构</w:t>
            </w:r>
            <w:r>
              <w:rPr>
                <w:rFonts w:hint="eastAsia" w:ascii="宋体" w:hAnsi="宋体" w:eastAsia="宋体" w:cs="宋体"/>
                <w:i w:val="0"/>
                <w:iCs w:val="0"/>
                <w:snapToGrid w:val="0"/>
                <w:color w:val="auto"/>
                <w:kern w:val="0"/>
                <w:sz w:val="21"/>
                <w:szCs w:val="21"/>
                <w:highlight w:val="none"/>
                <w:u w:val="none"/>
              </w:rPr>
              <w:t>出具的检测报告</w:t>
            </w:r>
            <w:r>
              <w:rPr>
                <w:rFonts w:hint="eastAsia" w:ascii="宋体" w:hAnsi="宋体" w:eastAsia="宋体" w:cs="宋体"/>
                <w:i w:val="0"/>
                <w:iCs w:val="0"/>
                <w:snapToGrid w:val="0"/>
                <w:color w:val="auto"/>
                <w:kern w:val="0"/>
                <w:sz w:val="21"/>
                <w:szCs w:val="21"/>
                <w:highlight w:val="none"/>
                <w:u w:val="none"/>
                <w:lang w:val="en-US" w:eastAsia="zh-CN"/>
              </w:rPr>
              <w:t>复印件或扫描件</w:t>
            </w:r>
            <w:r>
              <w:rPr>
                <w:rFonts w:hint="eastAsia" w:ascii="宋体" w:hAnsi="宋体" w:eastAsia="宋体" w:cs="宋体"/>
                <w:i w:val="0"/>
                <w:iCs w:val="0"/>
                <w:snapToGrid w:val="0"/>
                <w:color w:val="auto"/>
                <w:kern w:val="0"/>
                <w:sz w:val="21"/>
                <w:szCs w:val="21"/>
                <w:highlight w:val="none"/>
                <w:u w:val="none"/>
              </w:rPr>
              <w:t>，检测报告的内容必须有样品外观及标识图片和参数一致。</w:t>
            </w:r>
          </w:p>
          <w:p>
            <w:pPr>
              <w:keepNext w:val="0"/>
              <w:keepLines w:val="0"/>
              <w:widowControl/>
              <w:suppressLineNumbers w:val="0"/>
              <w:shd w:val="clear"/>
              <w:kinsoku w:val="0"/>
              <w:autoSpaceDE w:val="0"/>
              <w:autoSpaceDN w:val="0"/>
              <w:adjustRightInd w:val="0"/>
              <w:snapToGrid w:val="0"/>
              <w:spacing w:line="240" w:lineRule="auto"/>
              <w:jc w:val="left"/>
              <w:textAlignment w:val="center"/>
              <w:rPr>
                <w:rFonts w:hint="eastAsia" w:ascii="宋体" w:hAnsi="宋体" w:eastAsia="宋体" w:cs="宋体"/>
                <w:i w:val="0"/>
                <w:iCs w:val="0"/>
                <w:snapToGrid w:val="0"/>
                <w:color w:val="auto"/>
                <w:kern w:val="0"/>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6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bl>
    <w:p>
      <w:pPr>
        <w:pStyle w:val="11"/>
        <w:numPr>
          <w:ilvl w:val="0"/>
          <w:numId w:val="0"/>
        </w:numPr>
        <w:shd w:val="clear"/>
        <w:tabs>
          <w:tab w:val="left" w:pos="1659"/>
        </w:tabs>
        <w:spacing w:before="67" w:after="0" w:line="240" w:lineRule="auto"/>
        <w:ind w:right="0" w:rightChars="0"/>
        <w:jc w:val="left"/>
        <w:rPr>
          <w:rFonts w:hint="eastAsia" w:cs="宋体"/>
          <w:b/>
          <w:bCs/>
          <w:color w:val="auto"/>
          <w:sz w:val="24"/>
          <w:szCs w:val="24"/>
          <w:highlight w:val="none"/>
          <w:lang w:val="en-US" w:eastAsia="zh-CN" w:bidi="ar-SA"/>
        </w:rPr>
      </w:pPr>
    </w:p>
    <w:p>
      <w:pPr>
        <w:pStyle w:val="11"/>
        <w:numPr>
          <w:ilvl w:val="0"/>
          <w:numId w:val="0"/>
        </w:numPr>
        <w:shd w:val="clear"/>
        <w:tabs>
          <w:tab w:val="left" w:pos="1659"/>
        </w:tabs>
        <w:spacing w:before="67" w:after="0" w:line="240" w:lineRule="auto"/>
        <w:ind w:left="1056" w:leftChars="0" w:right="0" w:rightChars="0"/>
        <w:jc w:val="left"/>
        <w:rPr>
          <w:rFonts w:hint="eastAsia" w:cs="宋体"/>
          <w:b/>
          <w:bCs/>
          <w:color w:val="auto"/>
          <w:sz w:val="24"/>
          <w:szCs w:val="24"/>
          <w:highlight w:val="none"/>
          <w:lang w:val="en-US" w:eastAsia="zh-CN" w:bidi="ar-SA"/>
        </w:rPr>
      </w:pPr>
    </w:p>
    <w:p>
      <w:pPr>
        <w:pStyle w:val="11"/>
        <w:numPr>
          <w:ilvl w:val="0"/>
          <w:numId w:val="0"/>
        </w:numPr>
        <w:shd w:val="clear"/>
        <w:tabs>
          <w:tab w:val="left" w:pos="1659"/>
        </w:tabs>
        <w:spacing w:before="67" w:after="0" w:line="240" w:lineRule="auto"/>
        <w:ind w:left="1056" w:leftChars="0" w:right="0" w:rightChars="0"/>
        <w:jc w:val="left"/>
        <w:rPr>
          <w:rFonts w:hint="eastAsia" w:cs="宋体"/>
          <w:color w:val="auto"/>
          <w:sz w:val="32"/>
          <w:szCs w:val="22"/>
          <w:highlight w:val="none"/>
          <w:lang w:val="en-US" w:eastAsia="zh-CN" w:bidi="ar-SA"/>
        </w:rPr>
      </w:pPr>
      <w:r>
        <w:rPr>
          <w:rFonts w:hint="eastAsia" w:cs="宋体"/>
          <w:b/>
          <w:bCs/>
          <w:color w:val="auto"/>
          <w:sz w:val="24"/>
          <w:szCs w:val="24"/>
          <w:highlight w:val="none"/>
          <w:lang w:val="en-US" w:eastAsia="zh-CN" w:bidi="ar-SA"/>
        </w:rPr>
        <w:t>武陟县教育体育局2022年薄改计划学校体育器材设施配备</w:t>
      </w:r>
      <w:r>
        <w:rPr>
          <w:rFonts w:hint="eastAsia" w:cs="宋体"/>
          <w:b/>
          <w:bCs/>
          <w:color w:val="auto"/>
          <w:sz w:val="24"/>
          <w:szCs w:val="24"/>
          <w:highlight w:val="none"/>
          <w:lang w:val="en-US" w:eastAsia="zh-CN" w:bidi="ar-SA"/>
        </w:rPr>
        <w:tab/>
      </w:r>
      <w:r>
        <w:rPr>
          <w:rFonts w:hint="eastAsia" w:cs="宋体"/>
          <w:color w:val="auto"/>
          <w:sz w:val="32"/>
          <w:szCs w:val="22"/>
          <w:highlight w:val="none"/>
          <w:lang w:val="en-US" w:eastAsia="zh-CN" w:bidi="ar-SA"/>
        </w:rPr>
        <w:tab/>
      </w:r>
      <w:r>
        <w:rPr>
          <w:rFonts w:hint="eastAsia" w:cs="宋体"/>
          <w:color w:val="auto"/>
          <w:sz w:val="32"/>
          <w:szCs w:val="22"/>
          <w:highlight w:val="none"/>
          <w:lang w:val="en-US" w:eastAsia="zh-CN" w:bidi="ar-SA"/>
        </w:rPr>
        <w:tab/>
      </w:r>
      <w:r>
        <w:rPr>
          <w:rFonts w:hint="eastAsia" w:cs="宋体"/>
          <w:color w:val="auto"/>
          <w:sz w:val="32"/>
          <w:szCs w:val="22"/>
          <w:highlight w:val="none"/>
          <w:lang w:val="en-US" w:eastAsia="zh-CN" w:bidi="ar-SA"/>
        </w:rPr>
        <w:tab/>
      </w:r>
    </w:p>
    <w:tbl>
      <w:tblPr>
        <w:tblStyle w:val="9"/>
        <w:tblW w:w="88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
        <w:gridCol w:w="972"/>
        <w:gridCol w:w="5613"/>
        <w:gridCol w:w="555"/>
        <w:gridCol w:w="554"/>
        <w:gridCol w:w="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标的名    称</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b/>
                <w:bCs/>
                <w:color w:val="auto"/>
                <w:kern w:val="0"/>
                <w:sz w:val="21"/>
                <w:szCs w:val="21"/>
                <w:highlight w:val="none"/>
              </w:rPr>
              <w:t>主要技术参数、性能、配置等要求</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打气筒</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带储气罐/人工充气,适合给各种球类充气</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69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snapToGrid w:val="0"/>
                <w:color w:val="auto"/>
                <w:kern w:val="0"/>
                <w:sz w:val="21"/>
                <w:szCs w:val="21"/>
                <w:highlight w:val="none"/>
                <w:u w:val="none"/>
                <w:lang w:val="en-US" w:eastAsia="zh-CN" w:bidi="ar"/>
              </w:rPr>
            </w:pPr>
            <w:r>
              <w:rPr>
                <w:rFonts w:hint="eastAsia" w:ascii="宋体" w:hAnsi="宋体" w:eastAsia="宋体" w:cs="宋体"/>
                <w:i w:val="0"/>
                <w:iCs w:val="0"/>
                <w:snapToGrid w:val="0"/>
                <w:color w:val="auto"/>
                <w:kern w:val="0"/>
                <w:sz w:val="21"/>
                <w:szCs w:val="21"/>
                <w:highlight w:val="none"/>
                <w:u w:val="none"/>
                <w:lang w:val="en-US" w:eastAsia="zh-CN" w:bidi="ar"/>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拔河绳</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长30m,质量10kg左右,采用天然麻棕线绞制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根</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标志杆</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高1.2m～1.6m，立柱直径25mm，三角形红色旗面</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根</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标志筒</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 xml:space="preserve">全塑料制品,高度为15cm～75cm，呈圆锥体状，有配重,放置平稳                                                                            </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布卷尺</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50m，仿皮外壳，苎麻布卷尺，防水，防腐蚀；金属和收放扣.符合QB/T 1519-2011</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1"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大跳垫</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Style w:val="14"/>
                <w:snapToGrid w:val="0"/>
                <w:color w:val="auto"/>
                <w:sz w:val="21"/>
                <w:szCs w:val="21"/>
                <w:highlight w:val="none"/>
                <w:lang w:val="en-US" w:eastAsia="zh-CN" w:bidi="ar"/>
              </w:rPr>
            </w:pPr>
            <w:r>
              <w:rPr>
                <w:rStyle w:val="14"/>
                <w:snapToGrid w:val="0"/>
                <w:color w:val="auto"/>
                <w:sz w:val="21"/>
                <w:szCs w:val="21"/>
                <w:highlight w:val="none"/>
                <w:lang w:val="en-US" w:eastAsia="zh-CN" w:bidi="ar"/>
              </w:rPr>
              <w:t>采用泡沫塑料和泡沫乳胶，帆布或人造革外皮，长2000mm±5mm,宽1000mm±5mm,厚100mm。在长度方向可对半折叠，两侧各有提手，四周加装粘扣。符合GB/T 19851.2-2005</w:t>
            </w:r>
          </w:p>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bidi="ar"/>
              </w:rPr>
              <w:t>投标文件需提供</w:t>
            </w:r>
            <w:r>
              <w:rPr>
                <w:rFonts w:hint="eastAsia" w:ascii="宋体" w:hAnsi="宋体" w:eastAsia="宋体" w:cs="宋体"/>
                <w:b/>
                <w:bCs/>
                <w:i w:val="0"/>
                <w:iCs w:val="0"/>
                <w:snapToGrid w:val="0"/>
                <w:color w:val="auto"/>
                <w:kern w:val="0"/>
                <w:sz w:val="21"/>
                <w:szCs w:val="21"/>
                <w:highlight w:val="none"/>
                <w:u w:val="none"/>
                <w:lang w:val="en-US" w:eastAsia="zh-CN" w:bidi="ar"/>
              </w:rPr>
              <w:t>环保检测报告</w:t>
            </w:r>
            <w:r>
              <w:rPr>
                <w:rFonts w:hint="eastAsia" w:ascii="宋体" w:hAnsi="宋体" w:eastAsia="宋体" w:cs="宋体"/>
                <w:i w:val="0"/>
                <w:iCs w:val="0"/>
                <w:snapToGrid w:val="0"/>
                <w:color w:val="auto"/>
                <w:kern w:val="0"/>
                <w:sz w:val="21"/>
                <w:szCs w:val="21"/>
                <w:highlight w:val="none"/>
                <w:u w:val="none"/>
                <w:lang w:val="en-US" w:eastAsia="zh-CN" w:bidi="ar"/>
              </w:rPr>
              <w:t>复印件或扫描件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低单杠</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Style w:val="14"/>
                <w:snapToGrid w:val="0"/>
                <w:color w:val="auto"/>
                <w:sz w:val="21"/>
                <w:szCs w:val="21"/>
                <w:highlight w:val="none"/>
                <w:lang w:val="en-US" w:eastAsia="zh-CN" w:bidi="ar"/>
              </w:rPr>
              <w:t>杠面高度：1200mm～2000mm，两立柱支点中心距：2000mm～2400mm，横杠材料：弹簧钢，立柱材料：钢管 。符合GB/T 19851.2-2005</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8"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高单杠</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Style w:val="14"/>
                <w:snapToGrid w:val="0"/>
                <w:color w:val="auto"/>
                <w:sz w:val="21"/>
                <w:szCs w:val="21"/>
                <w:highlight w:val="none"/>
                <w:lang w:val="en-US" w:eastAsia="zh-CN" w:bidi="ar"/>
              </w:rPr>
            </w:pPr>
            <w:r>
              <w:rPr>
                <w:rStyle w:val="14"/>
                <w:snapToGrid w:val="0"/>
                <w:color w:val="auto"/>
                <w:sz w:val="21"/>
                <w:szCs w:val="21"/>
                <w:highlight w:val="none"/>
                <w:lang w:val="en-US" w:eastAsia="zh-CN" w:bidi="ar"/>
              </w:rPr>
              <w:t>地上高度2400mm，宽2000mm，￠28mm实心圆钢横杆，立柱管径114mm，壁厚2.2mm，地埋500mm，优质漆。</w:t>
            </w:r>
          </w:p>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rPr>
              <w:t>投标文件</w:t>
            </w:r>
            <w:r>
              <w:rPr>
                <w:rFonts w:hint="eastAsia" w:ascii="宋体" w:hAnsi="宋体" w:eastAsia="宋体" w:cs="宋体"/>
                <w:i w:val="0"/>
                <w:iCs w:val="0"/>
                <w:snapToGrid w:val="0"/>
                <w:color w:val="auto"/>
                <w:kern w:val="0"/>
                <w:sz w:val="21"/>
                <w:szCs w:val="21"/>
                <w:highlight w:val="none"/>
                <w:u w:val="none"/>
              </w:rPr>
              <w:t>需提供</w:t>
            </w:r>
            <w:r>
              <w:rPr>
                <w:rFonts w:hint="eastAsia" w:ascii="宋体" w:hAnsi="宋体" w:eastAsia="宋体" w:cs="宋体"/>
                <w:i w:val="0"/>
                <w:iCs w:val="0"/>
                <w:snapToGrid w:val="0"/>
                <w:color w:val="auto"/>
                <w:kern w:val="0"/>
                <w:sz w:val="21"/>
                <w:szCs w:val="21"/>
                <w:highlight w:val="none"/>
                <w:u w:val="none"/>
                <w:lang w:val="en-US" w:eastAsia="zh-CN"/>
              </w:rPr>
              <w:t>第三方检测机构</w:t>
            </w:r>
            <w:r>
              <w:rPr>
                <w:rFonts w:hint="eastAsia" w:ascii="宋体" w:hAnsi="宋体" w:eastAsia="宋体" w:cs="宋体"/>
                <w:i w:val="0"/>
                <w:iCs w:val="0"/>
                <w:snapToGrid w:val="0"/>
                <w:color w:val="auto"/>
                <w:kern w:val="0"/>
                <w:sz w:val="21"/>
                <w:szCs w:val="21"/>
                <w:highlight w:val="none"/>
                <w:u w:val="none"/>
              </w:rPr>
              <w:t>出具的</w:t>
            </w:r>
            <w:r>
              <w:rPr>
                <w:rFonts w:hint="eastAsia" w:ascii="宋体" w:hAnsi="宋体" w:eastAsia="宋体" w:cs="宋体"/>
                <w:i w:val="0"/>
                <w:iCs w:val="0"/>
                <w:snapToGrid w:val="0"/>
                <w:color w:val="auto"/>
                <w:kern w:val="0"/>
                <w:sz w:val="21"/>
                <w:szCs w:val="21"/>
                <w:highlight w:val="none"/>
                <w:u w:val="none"/>
                <w:lang w:eastAsia="zh-CN"/>
              </w:rPr>
              <w:t>管材的</w:t>
            </w:r>
            <w:r>
              <w:rPr>
                <w:rFonts w:hint="eastAsia" w:ascii="宋体" w:hAnsi="宋体" w:eastAsia="宋体" w:cs="宋体"/>
                <w:i w:val="0"/>
                <w:iCs w:val="0"/>
                <w:snapToGrid w:val="0"/>
                <w:color w:val="auto"/>
                <w:kern w:val="0"/>
                <w:sz w:val="21"/>
                <w:szCs w:val="21"/>
                <w:highlight w:val="none"/>
                <w:u w:val="none"/>
              </w:rPr>
              <w:t>检测报告复印件</w:t>
            </w:r>
            <w:r>
              <w:rPr>
                <w:rFonts w:hint="eastAsia" w:ascii="宋体" w:hAnsi="宋体" w:eastAsia="宋体" w:cs="宋体"/>
                <w:i w:val="0"/>
                <w:iCs w:val="0"/>
                <w:snapToGrid w:val="0"/>
                <w:color w:val="auto"/>
                <w:kern w:val="0"/>
                <w:sz w:val="21"/>
                <w:szCs w:val="21"/>
                <w:highlight w:val="none"/>
                <w:u w:val="none"/>
                <w:lang w:val="en-US" w:eastAsia="zh-CN"/>
              </w:rPr>
              <w:t>或扫描件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9</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短跳绳</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短跳绳，绳长度2800mm～3000mm，直径7mm～8mm，质量90g～120g，柄(2个)：长度140mm～170mm，直径26mm～33mm，质量70g～90g。GB/T 19851.20-2007</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根</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348</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发令枪</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可同时装2发子弹,军用钢发射装置,塑胶手柄,具有一定撞针冲击力，无后坐力设计</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支</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11</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肺活量测试仪</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 xml:space="preserve">1.测定人体呼吸的最大通气能力，测试数值反映肺的容积和肺的扩展能力。吹管不易产生积水，防补气功能，补气时自动锁定数据。2.测试仪采用一体化设计，液晶显示，具有锁定功能，读数方便。3. 符合GB/T19851.12-2005。适应频繁、大量人群集中测试。4.主要技术参数：量程：100～9999ml ，分度值：1ml，允差：±2.5%                          </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毽子</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键毛采用4枝彩色鸡羽，扎成圆形，毽垫直径30mm～32mm，厚度3mm～4mm，球高130mm～180mm，球重13g～15g。符合GB/T 19851.21-2007</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97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篮球</w:t>
            </w:r>
          </w:p>
        </w:tc>
        <w:tc>
          <w:tcPr>
            <w:tcW w:w="5613"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Style w:val="14"/>
                <w:snapToGrid w:val="0"/>
                <w:color w:val="auto"/>
                <w:sz w:val="21"/>
                <w:szCs w:val="21"/>
                <w:highlight w:val="none"/>
                <w:lang w:val="en-US" w:eastAsia="zh-CN" w:bidi="ar"/>
              </w:rPr>
              <w:t>符合GB/T19851.4-2005标准7号比赛篮球合格品的要求。</w:t>
            </w:r>
          </w:p>
        </w:tc>
        <w:tc>
          <w:tcPr>
            <w:tcW w:w="55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620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2" w:hRule="atLeast"/>
        </w:trPr>
        <w:tc>
          <w:tcPr>
            <w:tcW w:w="467" w:type="dxa"/>
            <w:tcBorders>
              <w:top w:val="single" w:color="auto" w:sz="4" w:space="0"/>
              <w:left w:val="single" w:color="auto" w:sz="4" w:space="0"/>
              <w:bottom w:val="single" w:color="auto"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14</w:t>
            </w:r>
          </w:p>
        </w:tc>
        <w:tc>
          <w:tcPr>
            <w:tcW w:w="972"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篮球架</w:t>
            </w:r>
          </w:p>
        </w:tc>
        <w:tc>
          <w:tcPr>
            <w:tcW w:w="561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Style w:val="15"/>
                <w:snapToGrid w:val="0"/>
                <w:color w:val="auto"/>
                <w:sz w:val="21"/>
                <w:szCs w:val="21"/>
                <w:highlight w:val="none"/>
                <w:lang w:val="en-US" w:eastAsia="zh-CN" w:bidi="ar"/>
              </w:rPr>
              <w:t>1.篮球架符合GB19851.3-2005和GB19272要求。2.篮球架型式：固定式单臂篮球架。立柱140圆管.3.篮板采用smc或钢化玻璃的篮板。4.五金件:螺钉,螺母为防锈钢件防锈级别与器材使用寿命相匹配,并加防盗帽。5.安全性能：框架与配重设计合理，符合力学和相关安全标准。</w:t>
            </w:r>
          </w:p>
        </w:tc>
        <w:tc>
          <w:tcPr>
            <w:tcW w:w="555"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副</w:t>
            </w:r>
          </w:p>
        </w:tc>
        <w:tc>
          <w:tcPr>
            <w:tcW w:w="554"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97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篮球网</w:t>
            </w:r>
          </w:p>
        </w:tc>
        <w:tc>
          <w:tcPr>
            <w:tcW w:w="5613"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篮网长400mm～450mm，网口直径450mm，网底直径350mm</w:t>
            </w:r>
          </w:p>
        </w:tc>
        <w:tc>
          <w:tcPr>
            <w:tcW w:w="55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8"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16</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秒表</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显示系统:能够计量50-100个时段，可以读出小时、分钟、秒、1/100秒，分段点时间、分段区时间和全部经过时间的二排显示；防水、防震、防磁。符合GB/T 22778-2008</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7"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排球网</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排球网长度9500mm～10000mm，宽度700mm±25mm.符合GB/T 19851.14-2007</w:t>
            </w:r>
          </w:p>
        </w:tc>
        <w:tc>
          <w:tcPr>
            <w:tcW w:w="5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排球网架</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移动配重式，可调，网柱高度：1920mm±5mm，拉网中央高度1800mm±5mm。符合GB/T 19851.13-2007</w:t>
            </w:r>
          </w:p>
        </w:tc>
        <w:tc>
          <w:tcPr>
            <w:tcW w:w="5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19</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乒乓球</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直径43.4mm～44.4mm，质量2.20g～2.60g，弹跳220mm～250mm，圆度0.4mm，受冲击不小于700次无破裂</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2318</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8"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乒乓球拍</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用来击球的拍面用一层齿粒向外的胶粒片覆盖，连同粘合剂，厚度不超过2mm，或者用齿粒向内或向外的海绵胶粒片覆盖，连同粘合剂，厚度不超过4mm。底板与胶粒片或海绵胶粒片的粘接结合力4N。符合GB/T 23115-2008</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469</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乒乓球台</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1.户外乒乓球台；能满足学校体育教学、训练需要应符合GB/T 19851.7- 2005的要求。≥2740mm×1525mm,台高≥760mm2.台面采用整张台面组成或由两个半张台面组成两种类型。3.球台面板选用SMC、金属类材料以外的适宜室外使用的材料。</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张</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乒乓球网</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球网高度≥145mm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23</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乒乓球网架</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网架长度152.5mm±2mm，网架高度130mm±2mm，可夹厚度≥30mm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24</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起跑器</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起跑器长63.5cm，卡槽宽95mm，连接板宽225mm；脚踏长165mm，宽105mm，表面镶嵌10mm厚的防滑胶垫，胶垫长160mm宽90mm厚10mm。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25</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软式飞盘</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PU制成，质地柔软，圆型饼状外观，采用最外圈围度边沿厚，里圈薄的。</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直径：225mm；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边沿厚度：20mm；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重量：120g。</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26</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软式排球</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Style w:val="14"/>
                <w:snapToGrid w:val="0"/>
                <w:color w:val="auto"/>
                <w:sz w:val="21"/>
                <w:szCs w:val="21"/>
                <w:highlight w:val="none"/>
                <w:lang w:val="en-US" w:eastAsia="zh-CN" w:bidi="ar"/>
              </w:rPr>
            </w:pPr>
            <w:r>
              <w:rPr>
                <w:rStyle w:val="14"/>
                <w:snapToGrid w:val="0"/>
                <w:color w:val="auto"/>
                <w:sz w:val="21"/>
                <w:szCs w:val="21"/>
                <w:highlight w:val="none"/>
                <w:lang w:val="en-US" w:eastAsia="zh-CN" w:bidi="ar"/>
              </w:rPr>
              <w:t>5号：圆周长650mm～670mm,质量220g～310g。符合GB/T 19851.6-2005</w:t>
            </w:r>
          </w:p>
          <w:p>
            <w:pPr>
              <w:keepNext w:val="0"/>
              <w:keepLines w:val="0"/>
              <w:widowControl/>
              <w:suppressLineNumbers w:val="0"/>
              <w:shd w:val="clear"/>
              <w:jc w:val="center"/>
              <w:textAlignment w:val="center"/>
              <w:rPr>
                <w:rFonts w:hint="default" w:ascii="宋体" w:hAnsi="宋体" w:eastAsia="宋体" w:cs="宋体"/>
                <w:i w:val="0"/>
                <w:iCs w:val="0"/>
                <w:snapToGrid w:val="0"/>
                <w:color w:val="auto"/>
                <w:kern w:val="0"/>
                <w:sz w:val="21"/>
                <w:szCs w:val="21"/>
                <w:highlight w:val="none"/>
                <w:u w:val="none"/>
                <w:lang w:val="en-US"/>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bidi="ar"/>
              </w:rPr>
              <w:t>投标文件需提供环保检测报告复印件或扫描件</w:t>
            </w:r>
          </w:p>
        </w:tc>
        <w:tc>
          <w:tcPr>
            <w:tcW w:w="5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286</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27</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排球</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Style w:val="14"/>
                <w:snapToGrid w:val="0"/>
                <w:color w:val="auto"/>
                <w:sz w:val="21"/>
                <w:szCs w:val="21"/>
                <w:highlight w:val="none"/>
                <w:lang w:val="en-US" w:eastAsia="zh-CN" w:bidi="ar"/>
              </w:rPr>
            </w:pPr>
            <w:r>
              <w:rPr>
                <w:rStyle w:val="14"/>
                <w:snapToGrid w:val="0"/>
                <w:color w:val="auto"/>
                <w:sz w:val="21"/>
                <w:szCs w:val="21"/>
                <w:highlight w:val="none"/>
                <w:lang w:val="en-US" w:eastAsia="zh-CN" w:bidi="ar"/>
              </w:rPr>
              <w:t>5号：圆周长650mm～670mm,质量255g～346g。符合GB/T 19851.6-2005</w:t>
            </w:r>
          </w:p>
          <w:p>
            <w:pPr>
              <w:keepNext w:val="0"/>
              <w:keepLines w:val="0"/>
              <w:widowControl/>
              <w:suppressLineNumbers w:val="0"/>
              <w:shd w:val="clear"/>
              <w:jc w:val="center"/>
              <w:textAlignment w:val="center"/>
              <w:rPr>
                <w:rFonts w:hint="default" w:ascii="宋体" w:hAnsi="宋体" w:eastAsia="宋体" w:cs="宋体"/>
                <w:i w:val="0"/>
                <w:iCs w:val="0"/>
                <w:snapToGrid w:val="0"/>
                <w:color w:val="auto"/>
                <w:kern w:val="0"/>
                <w:sz w:val="21"/>
                <w:szCs w:val="21"/>
                <w:highlight w:val="none"/>
                <w:u w:val="none"/>
                <w:lang w:val="en-US"/>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bidi="ar"/>
              </w:rPr>
              <w:t>投标文件需提供环保检测报告复印件或扫描件</w:t>
            </w:r>
          </w:p>
        </w:tc>
        <w:tc>
          <w:tcPr>
            <w:tcW w:w="5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8"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28</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山羊</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山羊全高：680mm～1080mm；山羊头长：420mm～460mm；头宽：280mm±5mm；头高：180mm～220mm，立轴升降间距：50mm±3mm，山羊腿外直径30mm，山羊腿壁厚3mm。符合GB/T 19851.2-2005</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29</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身高体重计</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机械式，最大秤量：120kg ，自重：23kg，承重板面积：375mm×270mm，身长器测量范围（分度值为5mm）：700mm-1900mm ，最小分度值：0.5kg</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15</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8"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实心球</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圆周长350mm～780mm,质量1000g±30g,采用适宜的软性材料，球体表面有进行防滑处理,无颗粒脱落、裂缝等缺陷,经过从10m高处自由落体试验后，无破裂。GB/T 19851.18-2007</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31</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低双杠</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上高度1300mm 宽度：0.5m 杠长3m。杠面直径42mm。具有良好的耐久性和耐候性。立管采用Φ114mm×2mm管。</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副</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高双杠</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地上高度1500mm 宽度：0.5m 杠长3m。杠面直径42mm。具有良好的耐久性和耐候性。立管采用Φ114mm×2mm管。</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副</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33</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体操棒</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采用木质或塑料。塑料采用硬质塑料，壁厚不小于5mm。长1000mm，截面直径25mm～30mm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根</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34</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跳 高 海 绵 包</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3000mm*2000mm*300mm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17</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35</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跳高横杆</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长3000mm～4000mm，直径25mm～30mm,质量不超过2000g,采用不宜折断的适宜材料制成，无采用金属材料，除两端外，横截面呈圆形，颜色醒目。横杆固定在立柱上，中心自然下垂小于20mm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根</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13</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36</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跳高架</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立柱高度1600mm～2000mm；高度刻度500mm～1800mm；横杆托长60mm，底座方管三脚架符合GB/T 19851.17-2007</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1"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37</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橡皮拉力带</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天然橡胶材料制成，无缝连接呈圆环状，外表光滑。</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宽度：45mm；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周长：2080mm；</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厚度：2.5mm。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条</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7"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38</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移动音响</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喇叭：12寸低音、压电高音。</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配置：充电器、单手持话筒（258.5MHZ)、说明书。</w:t>
            </w:r>
            <w:r>
              <w:rPr>
                <w:rFonts w:hint="eastAsia" w:ascii="宋体" w:hAnsi="宋体" w:eastAsia="宋体" w:cs="宋体"/>
                <w:i w:val="0"/>
                <w:iCs w:val="0"/>
                <w:snapToGrid w:val="0"/>
                <w:color w:val="auto"/>
                <w:kern w:val="0"/>
                <w:sz w:val="21"/>
                <w:szCs w:val="21"/>
                <w:highlight w:val="none"/>
                <w:u w:val="none"/>
                <w:lang w:val="en-US" w:eastAsia="zh-CN" w:bidi="ar"/>
              </w:rPr>
              <w:br w:type="textWrapping"/>
            </w:r>
            <w:r>
              <w:rPr>
                <w:rFonts w:hint="eastAsia" w:ascii="宋体" w:hAnsi="宋体" w:eastAsia="宋体" w:cs="宋体"/>
                <w:i w:val="0"/>
                <w:iCs w:val="0"/>
                <w:snapToGrid w:val="0"/>
                <w:color w:val="auto"/>
                <w:kern w:val="0"/>
                <w:sz w:val="21"/>
                <w:szCs w:val="21"/>
                <w:highlight w:val="none"/>
                <w:u w:val="none"/>
                <w:lang w:val="en-US" w:eastAsia="zh-CN" w:bidi="ar"/>
              </w:rPr>
              <w:t>功能：微信小程序控制、消原音伴唱、蓝牙、USB/TF卡、语音、录音、五旋钮独立调节、音频输入、话筒优先、外接12V，电池容量：4400mAh 充电器：DC9V1.2A 功率：100W  峰值功率：200W，适用范围：广场舞蹈、会议、体操活动、商铺优先、产品促销、旅行聚会等</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8"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39</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小跳垫</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Style w:val="14"/>
                <w:snapToGrid w:val="0"/>
                <w:color w:val="auto"/>
                <w:sz w:val="21"/>
                <w:szCs w:val="21"/>
                <w:highlight w:val="none"/>
                <w:lang w:val="en-US" w:eastAsia="zh-CN" w:bidi="ar"/>
              </w:rPr>
            </w:pPr>
            <w:r>
              <w:rPr>
                <w:rStyle w:val="14"/>
                <w:snapToGrid w:val="0"/>
                <w:color w:val="auto"/>
                <w:sz w:val="21"/>
                <w:szCs w:val="21"/>
                <w:highlight w:val="none"/>
                <w:lang w:val="en-US" w:eastAsia="zh-CN" w:bidi="ar"/>
              </w:rPr>
              <w:t>采用泡沫塑料和泡沫乳胶，帆布或人造革外皮，长1200mm±5mm,宽600mm±5mm,厚50mm。在长度方向可对半折叠，两侧各有提手，四周加装粘扣.符合GB/T 19851.2-2005</w:t>
            </w:r>
          </w:p>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bidi="ar"/>
              </w:rPr>
              <w:t>投标文件需提供</w:t>
            </w:r>
            <w:r>
              <w:rPr>
                <w:rFonts w:hint="eastAsia" w:ascii="宋体" w:hAnsi="宋体" w:eastAsia="宋体" w:cs="宋体"/>
                <w:b/>
                <w:bCs/>
                <w:i w:val="0"/>
                <w:iCs w:val="0"/>
                <w:snapToGrid w:val="0"/>
                <w:color w:val="auto"/>
                <w:kern w:val="0"/>
                <w:sz w:val="21"/>
                <w:szCs w:val="21"/>
                <w:highlight w:val="none"/>
                <w:u w:val="none"/>
                <w:lang w:val="en-US" w:eastAsia="zh-CN" w:bidi="ar"/>
              </w:rPr>
              <w:t>环保检测报告</w:t>
            </w:r>
            <w:r>
              <w:rPr>
                <w:rFonts w:hint="eastAsia" w:ascii="宋体" w:hAnsi="宋体" w:eastAsia="宋体" w:cs="宋体"/>
                <w:i w:val="0"/>
                <w:iCs w:val="0"/>
                <w:snapToGrid w:val="0"/>
                <w:color w:val="auto"/>
                <w:kern w:val="0"/>
                <w:sz w:val="21"/>
                <w:szCs w:val="21"/>
                <w:highlight w:val="none"/>
                <w:u w:val="none"/>
                <w:lang w:val="en-US" w:eastAsia="zh-CN" w:bidi="ar"/>
              </w:rPr>
              <w:t>复印件或扫描件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69</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0"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40</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羽毛球</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球口外径65mm～68mm，球头直径25mm～27mm，球头高度24mm～26mm，毛片插长63mm～64mm，质量4.50g～5.80g，毛片数量16片</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1204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41</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羽毛球拍</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总长度≤580mm，宽度≤230mm，拍弦面长度≤280mm，质量≤80g,握柄直径23mm～25mm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180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羽毛球网</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羽毛球网长度≥6100mm，宽度500mm±25mm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43</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羽毛球网柱</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不锈钢支架，网柱高度为1340mm±8mm，拉网中央高度1314mm±5mm</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44</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长跳绳</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长跳绳，绳长度4000mm～6000mm，直径8～9mm，质量140g～235g；柄(2个)：长度140mm～170mm，直径26mm～33mm，质量70g～90g。GB/T 19851.20-2007</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根</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80</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45</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助跳板</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主要原材料采用木材，符合GB/T19851.2-2005中Ⅰ、Ⅱ型要求。</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块</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8</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46</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足球</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snapToGrid w:val="0"/>
                <w:color w:val="auto"/>
                <w:kern w:val="0"/>
                <w:sz w:val="21"/>
                <w:szCs w:val="21"/>
                <w:highlight w:val="none"/>
                <w:u w:val="none"/>
                <w:lang w:val="en-US"/>
              </w:rPr>
            </w:pPr>
            <w:r>
              <w:rPr>
                <w:rStyle w:val="14"/>
                <w:snapToGrid w:val="0"/>
                <w:color w:val="auto"/>
                <w:sz w:val="21"/>
                <w:szCs w:val="21"/>
                <w:highlight w:val="none"/>
                <w:lang w:val="en-US" w:eastAsia="zh-CN" w:bidi="ar"/>
              </w:rPr>
              <w:t>5号，其重量为396-453g，周长为680-710mm。符合GB/T 22892-2008</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495</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8"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47</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足球门</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2号足球门，门内口宽度5500mm±10mm，高度2000mm±10mm，门柱及横梁直径89mm。足球门能承受的水平拉力1000N，足球门横梁能承受2700N的静负荷.符合GB/T 19851.15-2007</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副</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48</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足球网</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根据选定的球门，选择符合相应标准要求的足球网</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付</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49</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坐位体前屈仪</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工作环境：5℃ ～ 40℃湿度＜90%</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存储环境：-10℃ ～ 50℃湿度＜75%</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1：自动测量坐位体前屈的数值，反映躯干、腰、髋等部位关节、肌肉和韧带的伸展性和柔韧性；</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2：外设单机带独立显示器，可单独使用；</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3：主机与外设无线连接，可扩充至16人同时测试，内置锂电池可连续工作8小时以上；</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4：主机双芯片存储备份数据，存储量可达6万-10万条；主机中英文7寸彩色触摸屏显示操作界面，背光亮度可调节，全程语音提示（可调节音量）。</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5：主机预留USB接口，可直接连电脑下载1万-2万条名单，同步显示姓名、编号、性别等详细测试信息</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6：主机同时具有英文、数字（有自动递增功能）、智能IC卡、ID卡、激光条码扫描枪等多种身份信息输入的功能。</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7：主机与电脑之间采用2.4G无线传输，传输距离可达100米以上，多台主机可同时集中上传数据至电脑评分软件内；</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8：主机同时具有查询、删除、一键恢复数据、一键初始化等强大功能；</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9：主机兼容多种测试项目，不同的测试项目主机可相互替换进行测试，兼容互通，确保测试的稳定性；</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10</w:t>
            </w:r>
            <w:r>
              <w:rPr>
                <w:rFonts w:hint="eastAsia" w:ascii="宋体" w:hAnsi="宋体" w:eastAsia="宋体" w:cs="宋体"/>
                <w:i w:val="0"/>
                <w:iCs w:val="0"/>
                <w:snapToGrid w:val="0"/>
                <w:color w:val="auto"/>
                <w:kern w:val="0"/>
                <w:sz w:val="21"/>
                <w:szCs w:val="21"/>
                <w:highlight w:val="none"/>
                <w:u w:val="none"/>
                <w:lang w:eastAsia="zh-CN"/>
              </w:rPr>
              <w:t>：</w:t>
            </w:r>
            <w:r>
              <w:rPr>
                <w:rFonts w:hint="eastAsia" w:ascii="宋体" w:hAnsi="宋体" w:eastAsia="宋体" w:cs="宋体"/>
                <w:i w:val="0"/>
                <w:iCs w:val="0"/>
                <w:snapToGrid w:val="0"/>
                <w:color w:val="auto"/>
                <w:kern w:val="0"/>
                <w:sz w:val="21"/>
                <w:szCs w:val="21"/>
                <w:highlight w:val="none"/>
                <w:u w:val="none"/>
              </w:rPr>
              <w:t>测试结束后，主机屏幕自动生成二维码，可以扫描二维码查询测试数据；</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rPr>
              <w:t>投标文件</w:t>
            </w:r>
            <w:r>
              <w:rPr>
                <w:rFonts w:hint="eastAsia" w:ascii="宋体" w:hAnsi="宋体" w:eastAsia="宋体" w:cs="宋体"/>
                <w:i w:val="0"/>
                <w:iCs w:val="0"/>
                <w:snapToGrid w:val="0"/>
                <w:color w:val="auto"/>
                <w:kern w:val="0"/>
                <w:sz w:val="21"/>
                <w:szCs w:val="21"/>
                <w:highlight w:val="none"/>
                <w:u w:val="none"/>
              </w:rPr>
              <w:t>需提供</w:t>
            </w:r>
            <w:r>
              <w:rPr>
                <w:rFonts w:hint="eastAsia" w:ascii="宋体" w:hAnsi="宋体" w:eastAsia="宋体" w:cs="宋体"/>
                <w:i w:val="0"/>
                <w:iCs w:val="0"/>
                <w:snapToGrid w:val="0"/>
                <w:color w:val="auto"/>
                <w:kern w:val="0"/>
                <w:sz w:val="21"/>
                <w:szCs w:val="21"/>
                <w:highlight w:val="none"/>
                <w:u w:val="none"/>
                <w:lang w:val="en-US" w:eastAsia="zh-CN"/>
              </w:rPr>
              <w:t>第三方检测机构</w:t>
            </w:r>
            <w:r>
              <w:rPr>
                <w:rFonts w:hint="eastAsia" w:ascii="宋体" w:hAnsi="宋体" w:eastAsia="宋体" w:cs="宋体"/>
                <w:i w:val="0"/>
                <w:iCs w:val="0"/>
                <w:snapToGrid w:val="0"/>
                <w:color w:val="auto"/>
                <w:kern w:val="0"/>
                <w:sz w:val="21"/>
                <w:szCs w:val="21"/>
                <w:highlight w:val="none"/>
                <w:u w:val="none"/>
              </w:rPr>
              <w:t>出具的检测报告复印件</w:t>
            </w:r>
            <w:r>
              <w:rPr>
                <w:rFonts w:hint="eastAsia" w:ascii="宋体" w:hAnsi="宋体" w:eastAsia="宋体" w:cs="宋体"/>
                <w:i w:val="0"/>
                <w:iCs w:val="0"/>
                <w:snapToGrid w:val="0"/>
                <w:color w:val="auto"/>
                <w:kern w:val="0"/>
                <w:sz w:val="21"/>
                <w:szCs w:val="21"/>
                <w:highlight w:val="none"/>
                <w:u w:val="none"/>
                <w:lang w:val="en-US" w:eastAsia="zh-CN"/>
              </w:rPr>
              <w:t>或扫描件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21</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50</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立定跳远测试垫</w:t>
            </w:r>
          </w:p>
        </w:tc>
        <w:tc>
          <w:tcPr>
            <w:tcW w:w="56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技术参数：</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测量范围：1cm～330cm     电源：DC12V1A（由电源适配器提供）</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 xml:space="preserve">分度值：1cm   </w:t>
            </w:r>
            <w:r>
              <w:rPr>
                <w:rFonts w:hint="eastAsia" w:ascii="宋体" w:hAnsi="宋体" w:eastAsia="宋体" w:cs="宋体"/>
                <w:i w:val="0"/>
                <w:iCs w:val="0"/>
                <w:snapToGrid w:val="0"/>
                <w:color w:val="auto"/>
                <w:kern w:val="0"/>
                <w:sz w:val="21"/>
                <w:szCs w:val="21"/>
                <w:highlight w:val="none"/>
                <w:u w:val="none"/>
                <w:lang w:val="en-US" w:eastAsia="zh-CN"/>
              </w:rPr>
              <w:t xml:space="preserve">    </w:t>
            </w:r>
            <w:r>
              <w:rPr>
                <w:rFonts w:hint="eastAsia" w:ascii="宋体" w:hAnsi="宋体" w:eastAsia="宋体" w:cs="宋体"/>
                <w:i w:val="0"/>
                <w:iCs w:val="0"/>
                <w:snapToGrid w:val="0"/>
                <w:color w:val="auto"/>
                <w:kern w:val="0"/>
                <w:sz w:val="21"/>
                <w:szCs w:val="21"/>
                <w:highlight w:val="none"/>
                <w:u w:val="none"/>
              </w:rPr>
              <w:t xml:space="preserve"> 工作环境：5℃ ～ 40℃湿度＜90%</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误差： ±1cm     存储环境：-10℃ ～ 50℃湿度＜75%</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1：自动测量立定跳远的距离，反映人体下肢爆发力水平，加厚塑胶测试垫具备防滑减震功能，防止出现意外伤害；</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2：子机带有独立大屏幕显示器，可独立使用；</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3：子机带有自动起跳点识别功能和犯规提示功能；跳远测试垫宽度1.2米</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4：主机与外设无线连接，可扩充至16人同时测试，内置锂电池可连续工作8小时以上；</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5：主机双芯片存储备份数据，存储量可达6万-10万条；主机中英文7寸彩色触摸屏显示操作界面，背光亮度可调节，全程语音提示（可调节音量），可选配增加VGA接口功能，可连接17-55寸大显示屏同步显示学生的测试成绩和姓名学号；</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6：主机预留USB接口，可直接连电脑下载1万-2万条名单，同步显示姓名、编号、性别等详细测试信息；</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7：主机同时具有英文、数字（有自动递增功能）、智能IC卡、ID卡、激光条码扫描枪等多种身份信息输入的功能，还可选配用身份读取测试者的身份信息，支持1-30位数字、英文学号输入；</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8：主机与电脑之间采用2.4G无线传输，传输距离可达100米以上，多台主机可同时集中上传数据至电脑评分软件内；</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9：主机同时具有查询、删除、一键恢复数据、一键初始化等强大功能；</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10：主机兼容多种测试项目，不同的测试项目主机可相互替换进行测试，兼容互通，确保测试的稳定性；</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11：主机兼容多种测试项目，不同的测试项目主机可相互替换进行测试，兼容互通，确保测试的稳定性；</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12：测试结束后，主机屏幕自动生成二维码，可以扫描二维码查询测试数据；</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rPr>
              <w:t>投标文件需</w:t>
            </w:r>
            <w:r>
              <w:rPr>
                <w:rFonts w:hint="eastAsia" w:ascii="宋体" w:hAnsi="宋体" w:eastAsia="宋体" w:cs="宋体"/>
                <w:i w:val="0"/>
                <w:iCs w:val="0"/>
                <w:snapToGrid w:val="0"/>
                <w:color w:val="auto"/>
                <w:kern w:val="0"/>
                <w:sz w:val="21"/>
                <w:szCs w:val="21"/>
                <w:highlight w:val="none"/>
                <w:u w:val="none"/>
                <w:lang w:eastAsia="zh-CN"/>
              </w:rPr>
              <w:t>提供第三方检测机构出具的检测报告</w:t>
            </w:r>
            <w:r>
              <w:rPr>
                <w:rFonts w:hint="eastAsia" w:ascii="宋体" w:hAnsi="宋体" w:eastAsia="宋体" w:cs="宋体"/>
                <w:i w:val="0"/>
                <w:iCs w:val="0"/>
                <w:snapToGrid w:val="0"/>
                <w:color w:val="auto"/>
                <w:kern w:val="0"/>
                <w:sz w:val="21"/>
                <w:szCs w:val="21"/>
                <w:highlight w:val="none"/>
                <w:u w:val="none"/>
                <w:lang w:val="en-US" w:eastAsia="zh-CN"/>
              </w:rPr>
              <w:t>复印件或扫描件</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个</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2</w:t>
            </w:r>
          </w:p>
        </w:tc>
        <w:tc>
          <w:tcPr>
            <w:tcW w:w="69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83" w:hRule="atLeast"/>
        </w:trPr>
        <w:tc>
          <w:tcPr>
            <w:tcW w:w="46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51</w:t>
            </w:r>
          </w:p>
        </w:tc>
        <w:tc>
          <w:tcPr>
            <w:tcW w:w="97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握力测试仪</w:t>
            </w:r>
          </w:p>
        </w:tc>
        <w:tc>
          <w:tcPr>
            <w:tcW w:w="56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技术参数：</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测量范围：5.0kgf－100kgf       电源：DC12V1A（由电源适配器提供）</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分度值：0.1kgf     工作环境：5℃ ～ 40℃湿度＜90%</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误差：±0.3kgf   存储环境：-10℃ ～ 50℃湿度＜75%</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1：自动测量握力，反映受测者前臂和手部肌肉力量；</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2：握力计自带显示器，可独立使用；握距可自由调节；</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3：主机与外设无线连接，可扩充至16人同时测试，内置锂电池可连续工作8小时以上；</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4：主机双芯片存储备份数据，存储量可达6万-10万条；主机中英文7寸彩色触摸屏显示操作界面，背光亮度可调节，全程语音提示（可调节音量），可选配增加VGA接口功能，可连接17-55寸大显示屏同步显示学生的测试成绩和姓名学号；</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5：主机预留USB接口，可直接连电脑下载1万-2万条名单，同步显示姓名、编号、性别等详细测试信息；</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6：主机同时具有英文、数字（有自动递增功能）、智能IC卡、ID卡、激光条码扫描枪等多种身份信息输入的功能，还可选配用身份读取测试者的身份信息，支持1-30位数字、英文学号输入；</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7：主机与电脑之间采用2.4G无线传输，传输距离可达100米以上，多台主机可同时集中上传数据至电脑评分软件内；</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8：主机同时具有查询、删除、一键恢复数据、一键初始化等强大功能；</w:t>
            </w:r>
          </w:p>
          <w:p>
            <w:pPr>
              <w:keepNext w:val="0"/>
              <w:keepLines w:val="0"/>
              <w:widowControl/>
              <w:suppressLineNumbers w:val="0"/>
              <w:shd w:val="clear"/>
              <w:jc w:val="both"/>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rPr>
              <w:t>9：主机兼容多种测试项目，不同的测试项目主机可相互替换进行测试，兼容互通，确保测试的稳定性；</w:t>
            </w:r>
          </w:p>
          <w:p>
            <w:pPr>
              <w:keepNext w:val="0"/>
              <w:keepLines w:val="0"/>
              <w:widowControl/>
              <w:suppressLineNumbers w:val="0"/>
              <w:shd w:val="clear"/>
              <w:jc w:val="both"/>
              <w:textAlignment w:val="center"/>
              <w:rPr>
                <w:rFonts w:hint="default" w:ascii="宋体" w:hAnsi="宋体" w:eastAsia="宋体" w:cs="宋体"/>
                <w:i w:val="0"/>
                <w:iCs w:val="0"/>
                <w:snapToGrid w:val="0"/>
                <w:color w:val="auto"/>
                <w:kern w:val="0"/>
                <w:sz w:val="21"/>
                <w:szCs w:val="21"/>
                <w:highlight w:val="none"/>
                <w:u w:val="none"/>
                <w:lang w:val="en-US" w:eastAsia="zh-CN"/>
              </w:rPr>
            </w:pPr>
            <w:r>
              <w:rPr>
                <w:rFonts w:hint="eastAsia" w:ascii="宋体" w:hAnsi="宋体" w:eastAsia="宋体" w:cs="宋体"/>
                <w:i w:val="0"/>
                <w:iCs w:val="0"/>
                <w:snapToGrid w:val="0"/>
                <w:color w:val="auto"/>
                <w:kern w:val="0"/>
                <w:sz w:val="21"/>
                <w:szCs w:val="21"/>
                <w:highlight w:val="none"/>
                <w:u w:val="none"/>
              </w:rPr>
              <w:t>▲</w:t>
            </w:r>
            <w:r>
              <w:rPr>
                <w:rFonts w:hint="eastAsia" w:ascii="宋体" w:hAnsi="宋体" w:eastAsia="宋体" w:cs="宋体"/>
                <w:i w:val="0"/>
                <w:iCs w:val="0"/>
                <w:snapToGrid w:val="0"/>
                <w:color w:val="auto"/>
                <w:kern w:val="0"/>
                <w:sz w:val="21"/>
                <w:szCs w:val="21"/>
                <w:highlight w:val="none"/>
                <w:u w:val="none"/>
                <w:lang w:val="en-US" w:eastAsia="zh-CN"/>
              </w:rPr>
              <w:t>投标文件需</w:t>
            </w:r>
            <w:r>
              <w:rPr>
                <w:rFonts w:hint="eastAsia" w:ascii="宋体" w:hAnsi="宋体" w:eastAsia="宋体" w:cs="宋体"/>
                <w:i w:val="0"/>
                <w:iCs w:val="0"/>
                <w:snapToGrid w:val="0"/>
                <w:color w:val="auto"/>
                <w:kern w:val="0"/>
                <w:sz w:val="21"/>
                <w:szCs w:val="21"/>
                <w:highlight w:val="none"/>
                <w:u w:val="none"/>
                <w:lang w:eastAsia="zh-CN"/>
              </w:rPr>
              <w:t>提供第三方检测机构出具的检测报告</w:t>
            </w:r>
            <w:r>
              <w:rPr>
                <w:rFonts w:hint="eastAsia" w:ascii="宋体" w:hAnsi="宋体" w:eastAsia="宋体" w:cs="宋体"/>
                <w:i w:val="0"/>
                <w:iCs w:val="0"/>
                <w:snapToGrid w:val="0"/>
                <w:color w:val="auto"/>
                <w:kern w:val="0"/>
                <w:sz w:val="21"/>
                <w:szCs w:val="21"/>
                <w:highlight w:val="none"/>
                <w:u w:val="none"/>
                <w:lang w:val="en-US" w:eastAsia="zh-CN"/>
              </w:rPr>
              <w:t>复印件或扫描件</w:t>
            </w:r>
          </w:p>
        </w:tc>
        <w:tc>
          <w:tcPr>
            <w:tcW w:w="5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台</w:t>
            </w:r>
          </w:p>
        </w:tc>
        <w:tc>
          <w:tcPr>
            <w:tcW w:w="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rPr>
            </w:pPr>
            <w:r>
              <w:rPr>
                <w:rFonts w:hint="eastAsia" w:ascii="宋体" w:hAnsi="宋体" w:eastAsia="宋体" w:cs="宋体"/>
                <w:i w:val="0"/>
                <w:iCs w:val="0"/>
                <w:snapToGrid w:val="0"/>
                <w:color w:val="auto"/>
                <w:kern w:val="0"/>
                <w:sz w:val="21"/>
                <w:szCs w:val="21"/>
                <w:highlight w:val="none"/>
                <w:u w:val="none"/>
                <w:lang w:val="en-US" w:eastAsia="zh-CN" w:bidi="ar"/>
              </w:rPr>
              <w:t>120</w:t>
            </w:r>
          </w:p>
        </w:tc>
        <w:tc>
          <w:tcPr>
            <w:tcW w:w="69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snapToGrid w:val="0"/>
                <w:color w:val="auto"/>
                <w:kern w:val="0"/>
                <w:sz w:val="21"/>
                <w:szCs w:val="21"/>
                <w:highlight w:val="none"/>
                <w:u w:val="none"/>
                <w:lang w:val="en-US" w:eastAsia="zh-CN" w:bidi="ar"/>
              </w:rPr>
            </w:pPr>
          </w:p>
        </w:tc>
      </w:tr>
    </w:tbl>
    <w:p>
      <w:pPr>
        <w:pStyle w:val="8"/>
        <w:shd w:val="clear"/>
        <w:ind w:left="0" w:leftChars="0" w:firstLine="0" w:firstLineChars="0"/>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五、需要落实的政府采购政策</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rPr>
        <w:t>促进中小企业、监狱企业和残疾人福利性单位发展扶持政策</w:t>
      </w:r>
    </w:p>
    <w:p>
      <w:pPr>
        <w:keepNext w:val="0"/>
        <w:keepLines w:val="0"/>
        <w:pageBreakBefore w:val="0"/>
        <w:widowControl w:val="0"/>
        <w:shd w:val="clear"/>
        <w:kinsoku/>
        <w:wordWrap/>
        <w:overflowPunct/>
        <w:topLinePunct w:val="0"/>
        <w:autoSpaceDE/>
        <w:autoSpaceDN/>
        <w:bidi w:val="0"/>
        <w:adjustRightInd/>
        <w:snapToGrid/>
        <w:spacing w:line="400" w:lineRule="exact"/>
        <w:textAlignment w:val="auto"/>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rPr>
        <w:t>促进中小企业发展扶持政策</w:t>
      </w:r>
      <w:r>
        <w:rPr>
          <w:rFonts w:hint="eastAsia" w:ascii="宋体" w:hAnsi="宋体" w:eastAsia="宋体" w:cs="宋体"/>
          <w:bCs/>
          <w:color w:val="auto"/>
          <w:sz w:val="21"/>
          <w:szCs w:val="21"/>
          <w:highlight w:val="none"/>
        </w:rPr>
        <w:t>：</w:t>
      </w:r>
    </w:p>
    <w:p>
      <w:pPr>
        <w:numPr>
          <w:ilvl w:val="0"/>
          <w:numId w:val="0"/>
        </w:numPr>
        <w:shd w:val="clear"/>
        <w:spacing w:line="500" w:lineRule="exact"/>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中小企业认定：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hd w:val="clear"/>
        <w:spacing w:line="500" w:lineRule="exact"/>
        <w:rPr>
          <w:rFonts w:hint="eastAsia" w:ascii="宋体" w:hAnsi="宋体"/>
          <w:bCs/>
          <w:color w:val="auto"/>
          <w:sz w:val="21"/>
          <w:szCs w:val="21"/>
          <w:highlight w:val="none"/>
        </w:rPr>
      </w:pPr>
      <w:r>
        <w:rPr>
          <w:rFonts w:hint="eastAsia" w:ascii="宋体" w:hAnsi="宋体"/>
          <w:bCs/>
          <w:color w:val="auto"/>
          <w:sz w:val="21"/>
          <w:szCs w:val="21"/>
          <w:highlight w:val="none"/>
        </w:rPr>
        <w:t>　　</w:t>
      </w: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，不再提供《中小企业声明函》，投标人出具的监狱企业证明文件如有虚假，其成交资格将被取消，并根据相关规定进行处罚。</w:t>
      </w:r>
    </w:p>
    <w:p>
      <w:pPr>
        <w:shd w:val="clear"/>
        <w:spacing w:line="500" w:lineRule="exac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shd w:val="clea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lang w:eastAsia="zh-CN"/>
        </w:rPr>
      </w:pPr>
      <w:r>
        <w:rPr>
          <w:rFonts w:hint="eastAsia" w:ascii="宋体" w:hAnsi="宋体" w:eastAsia="宋体"/>
          <w:b/>
          <w:bCs w:val="0"/>
          <w:color w:val="auto"/>
          <w:sz w:val="21"/>
          <w:szCs w:val="21"/>
          <w:highlight w:val="none"/>
          <w:lang w:eastAsia="zh-CN"/>
        </w:rPr>
        <w:t>采购人根据投标人提供的《</w:t>
      </w:r>
      <w:r>
        <w:rPr>
          <w:rFonts w:hint="eastAsia" w:ascii="宋体" w:hAnsi="宋体" w:eastAsia="宋体"/>
          <w:b/>
          <w:bCs w:val="0"/>
          <w:color w:val="auto"/>
          <w:sz w:val="21"/>
          <w:szCs w:val="21"/>
          <w:highlight w:val="none"/>
        </w:rPr>
        <w:t>中小企业声明函</w:t>
      </w:r>
      <w:r>
        <w:rPr>
          <w:rFonts w:hint="eastAsia" w:ascii="宋体" w:hAnsi="宋体" w:eastAsia="宋体"/>
          <w:b/>
          <w:bCs w:val="0"/>
          <w:color w:val="auto"/>
          <w:sz w:val="21"/>
          <w:szCs w:val="21"/>
          <w:highlight w:val="none"/>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hd w:val="clear"/>
        <w:spacing w:line="500" w:lineRule="exact"/>
        <w:ind w:leftChars="200"/>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（二）</w:t>
      </w:r>
      <w:r>
        <w:rPr>
          <w:rFonts w:hint="eastAsia" w:ascii="宋体" w:hAnsi="宋体"/>
          <w:b/>
          <w:bCs/>
          <w:color w:val="auto"/>
          <w:sz w:val="21"/>
          <w:szCs w:val="21"/>
          <w:highlight w:val="none"/>
        </w:rPr>
        <w:t>节能产品、环境标志产品</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，否则不予认定。</w:t>
      </w:r>
    </w:p>
    <w:p>
      <w:pPr>
        <w:numPr>
          <w:ilvl w:val="0"/>
          <w:numId w:val="0"/>
        </w:numPr>
        <w:shd w:val="clear"/>
        <w:spacing w:line="500" w:lineRule="exact"/>
        <w:ind w:leftChars="200"/>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（三）</w:t>
      </w:r>
      <w:r>
        <w:rPr>
          <w:rFonts w:hint="eastAsia" w:ascii="宋体" w:hAnsi="宋体"/>
          <w:b/>
          <w:bCs/>
          <w:color w:val="auto"/>
          <w:sz w:val="21"/>
          <w:szCs w:val="21"/>
          <w:highlight w:val="none"/>
        </w:rPr>
        <w:t>信息安全产品</w:t>
      </w:r>
    </w:p>
    <w:p>
      <w:pPr>
        <w:shd w:val="clear"/>
        <w:spacing w:line="500" w:lineRule="exact"/>
        <w:ind w:firstLine="424" w:firstLineChars="202"/>
        <w:rPr>
          <w:rFonts w:hint="eastAsia" w:ascii="宋体" w:hAnsi="宋体"/>
          <w:b/>
          <w:bCs/>
          <w:color w:val="auto"/>
          <w:sz w:val="21"/>
          <w:szCs w:val="21"/>
          <w:highlight w:val="none"/>
        </w:rPr>
      </w:pPr>
      <w:r>
        <w:rPr>
          <w:rFonts w:hint="eastAsia" w:ascii="宋体" w:hAnsi="宋体"/>
          <w:bCs/>
          <w:color w:val="auto"/>
          <w:sz w:val="21"/>
          <w:szCs w:val="21"/>
          <w:highlight w:val="none"/>
        </w:rPr>
        <w:t>根据《财政部 工业和信息化部国家质检总局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68F4255B"/>
    <w:multiLevelType w:val="singleLevel"/>
    <w:tmpl w:val="68F4255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357C215C"/>
    <w:rsid w:val="357C215C"/>
    <w:rsid w:val="39A14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无间隔1"/>
    <w:basedOn w:val="1"/>
    <w:next w:val="3"/>
    <w:qFormat/>
    <w:uiPriority w:val="0"/>
    <w:pPr>
      <w:spacing w:line="400" w:lineRule="exact"/>
    </w:pPr>
    <w:rPr>
      <w:rFonts w:eastAsia="宋体"/>
      <w:sz w:val="24"/>
    </w:rPr>
  </w:style>
  <w:style w:type="paragraph" w:customStyle="1" w:styleId="3">
    <w:name w:val="TOC Heading1"/>
    <w:next w:val="1"/>
    <w:qFormat/>
    <w:uiPriority w:val="0"/>
    <w:pPr>
      <w:wordWrap w:val="0"/>
    </w:pPr>
    <w:rPr>
      <w:rFonts w:ascii="Calibri" w:hAnsi="Calibri" w:eastAsia="宋体" w:cs="Times New Roman"/>
      <w:sz w:val="32"/>
      <w:szCs w:val="22"/>
      <w:lang w:val="en-US" w:eastAsia="zh-CN" w:bidi="ar-SA"/>
    </w:rPr>
  </w:style>
  <w:style w:type="paragraph" w:styleId="4">
    <w:name w:val="Body Text Indent"/>
    <w:basedOn w:val="1"/>
    <w:next w:val="5"/>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5">
    <w:name w:val="envelope return"/>
    <w:basedOn w:val="1"/>
    <w:qFormat/>
    <w:uiPriority w:val="0"/>
    <w:pPr>
      <w:snapToGrid w:val="0"/>
    </w:pPr>
    <w:rPr>
      <w:rFonts w:ascii="Arial" w:hAnsi="Arial"/>
    </w:rPr>
  </w:style>
  <w:style w:type="paragraph" w:styleId="6">
    <w:name w:val="Body Text Indent 2"/>
    <w:basedOn w:val="1"/>
    <w:qFormat/>
    <w:uiPriority w:val="0"/>
    <w:pPr>
      <w:spacing w:line="40" w:lineRule="atLeast"/>
      <w:ind w:firstLine="538" w:firstLineChars="192"/>
    </w:pPr>
    <w:rPr>
      <w:rFonts w:ascii="宋体" w:hAnsi="宋体"/>
      <w:kern w:val="0"/>
      <w:sz w:val="28"/>
    </w:rPr>
  </w:style>
  <w:style w:type="paragraph" w:styleId="7">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8">
    <w:name w:val="Body Text First Indent 2"/>
    <w:basedOn w:val="4"/>
    <w:next w:val="1"/>
    <w:qFormat/>
    <w:uiPriority w:val="99"/>
    <w:pPr>
      <w:ind w:firstLine="420" w:firstLineChars="200"/>
    </w:pPr>
  </w:style>
  <w:style w:type="paragraph" w:customStyle="1" w:styleId="11">
    <w:name w:val="List Paragraph"/>
    <w:basedOn w:val="1"/>
    <w:qFormat/>
    <w:uiPriority w:val="1"/>
    <w:pPr>
      <w:ind w:left="1681" w:hanging="601"/>
    </w:pPr>
    <w:rPr>
      <w:rFonts w:ascii="宋体" w:hAnsi="宋体" w:eastAsia="宋体" w:cs="宋体"/>
      <w:lang w:val="en-US" w:eastAsia="zh-CN" w:bidi="ar-SA"/>
    </w:rPr>
  </w:style>
  <w:style w:type="character" w:customStyle="1" w:styleId="12">
    <w:name w:val="font51"/>
    <w:basedOn w:val="10"/>
    <w:qFormat/>
    <w:uiPriority w:val="0"/>
    <w:rPr>
      <w:rFonts w:hint="eastAsia" w:ascii="宋体" w:hAnsi="宋体" w:eastAsia="宋体" w:cs="宋体"/>
      <w:color w:val="FF0000"/>
      <w:sz w:val="20"/>
      <w:szCs w:val="20"/>
      <w:u w:val="none"/>
    </w:rPr>
  </w:style>
  <w:style w:type="character" w:customStyle="1" w:styleId="13">
    <w:name w:val="font41"/>
    <w:basedOn w:val="10"/>
    <w:qFormat/>
    <w:uiPriority w:val="0"/>
    <w:rPr>
      <w:rFonts w:hint="eastAsia" w:ascii="宋体" w:hAnsi="宋体" w:eastAsia="宋体" w:cs="宋体"/>
      <w:color w:val="000000"/>
      <w:sz w:val="20"/>
      <w:szCs w:val="20"/>
      <w:u w:val="none"/>
    </w:rPr>
  </w:style>
  <w:style w:type="character" w:customStyle="1" w:styleId="14">
    <w:name w:val="font21"/>
    <w:basedOn w:val="10"/>
    <w:qFormat/>
    <w:uiPriority w:val="0"/>
    <w:rPr>
      <w:rFonts w:hint="eastAsia" w:ascii="宋体" w:hAnsi="宋体" w:eastAsia="宋体" w:cs="宋体"/>
      <w:color w:val="000000"/>
      <w:sz w:val="22"/>
      <w:szCs w:val="22"/>
      <w:u w:val="none"/>
    </w:rPr>
  </w:style>
  <w:style w:type="character" w:customStyle="1" w:styleId="15">
    <w:name w:val="font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2023-09-06T06:55:00Z</dcterms:created>
  <dc:creator>琳琳0111</dc:creator>
  <cp:lastModifiedBy>琳琳0111</cp:lastModifiedBy>
  <dcterms:modified xsi:type="dcterms:W3CDTF">2023-09-06T06:55:38Z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DCA3963B3FB541F3BC55B7F37436E833_11</vt:lpwstr>
  </property>
</Properties>
</file>